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arktbetonad"/>
          <w:b/>
        </w:rPr>
        <w:t>FLEX</w:t>
      </w:r>
      <w:r>
        <w:rPr>
          <w:rStyle w:val="Starktbetonad"/>
          <w:b/>
        </w:rPr>
        <w:t xml:space="preserve">, </w:t>
      </w:r>
      <w:r>
        <w:rPr>
          <w:rStyle w:val="Starktbetonad"/>
          <w:b w:val="false"/>
          <w:bCs w:val="false"/>
        </w:rPr>
        <w:t>120</w:t>
      </w:r>
      <w:r>
        <w:rPr>
          <w:rStyle w:val="Starktbetonad"/>
          <w:b w:val="false"/>
          <w:bCs w:val="false"/>
          <w:i w:val="false"/>
          <w:iCs w:val="false"/>
        </w:rPr>
        <w:t xml:space="preserve"> kapslar</w:t>
      </w:r>
    </w:p>
    <w:p>
      <w:pPr>
        <w:pStyle w:val="Rubrik2press"/>
        <w:jc w:val="left"/>
        <w:rPr/>
      </w:pPr>
      <w:r>
        <w:rPr>
          <w:rStyle w:val="Starktbetonad"/>
          <w:b/>
          <w:sz w:val="20"/>
          <w:szCs w:val="20"/>
        </w:rPr>
        <w:t xml:space="preserve">Art nr. </w:t>
      </w:r>
      <w:r>
        <w:rPr>
          <w:rStyle w:val="Starktbetonad"/>
          <w:b w:val="false"/>
          <w:bCs w:val="false"/>
          <w:sz w:val="20"/>
          <w:szCs w:val="20"/>
        </w:rPr>
        <w:t>231</w:t>
      </w:r>
    </w:p>
    <w:p>
      <w:pPr>
        <w:pStyle w:val="Rubrik2press"/>
        <w:jc w:val="left"/>
        <w:rPr>
          <w:rStyle w:val="Starktbetonad"/>
        </w:rPr>
      </w:pPr>
      <w:r>
        <w:rPr/>
      </w:r>
    </w:p>
    <w:p>
      <w:pPr>
        <w:pStyle w:val="Brdtext"/>
        <w:rPr/>
      </w:pPr>
      <w:r>
        <w:rPr>
          <w:rStyle w:val="Starktbetonad"/>
        </w:rPr>
        <w:t>FLEX</w:t>
      </w:r>
      <w:r>
        <w:rPr>
          <w:rStyle w:val="Starktbetonad"/>
        </w:rPr>
        <w:t xml:space="preserve"> är ett vegansäkert kosttillskott i kapselform som innehåller MSM (metylsulfonylmetan), Cissus Quadrangularis och nyponextrakt, som är populära inom produktkategorin “leder &amp; muskler”.</w:t>
      </w:r>
    </w:p>
    <w:p>
      <w:pPr>
        <w:pStyle w:val="Brdtext"/>
        <w:rPr/>
      </w:pPr>
      <w:r>
        <w:rPr/>
        <w:t>FLEX</w:t>
      </w:r>
      <w:r>
        <w:rPr/>
        <w:t xml:space="preserve"> </w:t>
      </w:r>
      <w:r>
        <w:rPr/>
        <w:t xml:space="preserve">är en otroligt </w:t>
      </w:r>
      <w:r>
        <w:rPr/>
        <w:t xml:space="preserve">uppskattad produkt </w:t>
      </w:r>
      <w:r>
        <w:rPr/>
        <w:t>hos</w:t>
      </w:r>
      <w:r>
        <w:rPr/>
        <w:t xml:space="preserve"> tränande idrottsmän &amp; kvinnor, samt personer med slitsamma arbeten.</w:t>
      </w:r>
    </w:p>
    <w:p>
      <w:pPr>
        <w:pStyle w:val="Brdtext"/>
        <w:spacing w:before="0" w:after="0"/>
        <w:rPr/>
      </w:pPr>
      <w:r>
        <w:rPr/>
        <w:br/>
      </w:r>
    </w:p>
    <w:p>
      <w:pPr>
        <w:pStyle w:val="Rubrik4press"/>
        <w:rPr/>
      </w:pPr>
      <w:r>
        <w:rPr>
          <w:sz w:val="18"/>
          <w:szCs w:val="18"/>
        </w:rPr>
        <w:br/>
        <w:t>NETTOVIKT</w:t>
      </w:r>
    </w:p>
    <w:p>
      <w:pPr>
        <w:pStyle w:val="Brdtextpress"/>
        <w:rPr>
          <w:rFonts w:ascii="Arial" w:hAnsi="Arial"/>
          <w:sz w:val="18"/>
          <w:szCs w:val="18"/>
        </w:rPr>
      </w:pPr>
      <w:r>
        <w:rPr>
          <w:sz w:val="18"/>
          <w:szCs w:val="18"/>
        </w:rPr>
        <w:t xml:space="preserve">120 kapslar </w:t>
      </w:r>
    </w:p>
    <w:p>
      <w:pPr>
        <w:pStyle w:val="Rubrik4press"/>
        <w:rPr>
          <w:rFonts w:ascii="Arial" w:hAnsi="Arial" w:cs="Arial"/>
          <w:b/>
          <w:bCs/>
        </w:rPr>
      </w:pPr>
      <w:r>
        <w:rPr>
          <w:rFonts w:cs="Arial"/>
          <w:b/>
          <w:bCs/>
          <w:sz w:val="18"/>
          <w:szCs w:val="18"/>
        </w:rPr>
        <w:t>DOSERINGSSTORLEK</w:t>
      </w:r>
    </w:p>
    <w:p>
      <w:pPr>
        <w:pStyle w:val="Brdtextpress"/>
        <w:rPr>
          <w:rFonts w:ascii="Arial" w:hAnsi="Arial"/>
          <w:sz w:val="18"/>
          <w:szCs w:val="18"/>
        </w:rPr>
      </w:pPr>
      <w:r>
        <w:rPr>
          <w:rFonts w:cs="Arial"/>
          <w:b w:val="false"/>
          <w:bCs w:val="false"/>
          <w:sz w:val="18"/>
          <w:szCs w:val="18"/>
        </w:rPr>
        <w:t>2 kapslar.</w:t>
      </w:r>
    </w:p>
    <w:p>
      <w:pPr>
        <w:pStyle w:val="Rubrik4press"/>
        <w:rPr>
          <w:rFonts w:ascii="Arial" w:hAnsi="Arial"/>
          <w:sz w:val="18"/>
          <w:szCs w:val="18"/>
        </w:rPr>
      </w:pPr>
      <w:r>
        <w:rPr>
          <w:sz w:val="18"/>
          <w:szCs w:val="18"/>
        </w:rPr>
        <w:t xml:space="preserve">DOSERING </w:t>
      </w:r>
    </w:p>
    <w:p>
      <w:pPr>
        <w:pStyle w:val="Brdtextpress"/>
        <w:rPr>
          <w:rFonts w:ascii="Arial" w:hAnsi="Arial"/>
          <w:sz w:val="18"/>
          <w:szCs w:val="18"/>
        </w:rPr>
      </w:pPr>
      <w:r>
        <w:rPr>
          <w:sz w:val="18"/>
          <w:szCs w:val="18"/>
        </w:rPr>
        <w:t xml:space="preserve">2 kapslar 2 gånger dagligen. </w:t>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t xml:space="preserve">INGREDIENSER </w:t>
      </w:r>
    </w:p>
    <w:p>
      <w:pPr>
        <w:pStyle w:val="Brdtextpress"/>
        <w:rPr>
          <w:rFonts w:ascii="Arial" w:hAnsi="Arial"/>
          <w:sz w:val="18"/>
          <w:szCs w:val="18"/>
        </w:rPr>
      </w:pPr>
      <w:r>
        <w:rPr>
          <w:sz w:val="18"/>
          <w:szCs w:val="18"/>
        </w:rPr>
        <w:t>MSM (metylsulfonylmetan) 250 mg, Cissus Quadrangularis P.E. standardiserat till 50% 3-ketosteron 200 mg, Rosa Canina (nyponextrakt) 100 mg.</w:t>
        <w:br/>
      </w:r>
      <w:r>
        <w:rPr>
          <w:i/>
          <w:iCs/>
          <w:sz w:val="18"/>
          <w:szCs w:val="18"/>
        </w:rPr>
        <w:t>Övriga ingredienser:</w:t>
      </w:r>
      <w:r>
        <w:rPr>
          <w:sz w:val="18"/>
          <w:szCs w:val="18"/>
        </w:rPr>
        <w:t xml:space="preserve"> Vegetabilisk kapsel (cellulosa), zinkmonometionin/aspartat, vitamin B6 (pyridoxin-HCl), fyllnadsmedel (mikrokristallin cellulosa), klumpförebyggande medel (vegetabiliskt magnesiumstearat, kiseldioxid).</w:t>
      </w:r>
    </w:p>
    <w:p>
      <w:pPr>
        <w:pStyle w:val="Normal"/>
        <w:rPr>
          <w:rFonts w:ascii="Arial" w:hAnsi="Arial"/>
        </w:rPr>
      </w:pPr>
      <w:r>
        <w:rPr>
          <w:rFonts w:ascii="Arial" w:hAnsi="Arial"/>
          <w:b/>
          <w:bCs/>
          <w:color w:val="auto"/>
          <w:sz w:val="18"/>
          <w:szCs w:val="18"/>
        </w:rPr>
        <w:br/>
        <w:t>INNEHÅLL</w:t>
      </w:r>
    </w:p>
    <w:tbl>
      <w:tblPr>
        <w:tblW w:w="3975" w:type="dxa"/>
        <w:jc w:val="left"/>
        <w:tblInd w:w="0" w:type="dxa"/>
        <w:tblLayout w:type="fixed"/>
        <w:tblCellMar>
          <w:top w:w="55" w:type="dxa"/>
          <w:left w:w="55" w:type="dxa"/>
          <w:bottom w:w="55" w:type="dxa"/>
          <w:right w:w="55" w:type="dxa"/>
        </w:tblCellMar>
      </w:tblPr>
      <w:tblGrid>
        <w:gridCol w:w="1935"/>
        <w:gridCol w:w="1064"/>
        <w:gridCol w:w="976"/>
      </w:tblGrid>
      <w:tr>
        <w:trPr/>
        <w:tc>
          <w:tcPr>
            <w:tcW w:w="1935"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rPr>
                <w:b/>
                <w:bCs/>
              </w:rPr>
            </w:pPr>
            <w:r>
              <w:rPr>
                <w:b/>
                <w:bCs/>
                <w:sz w:val="16"/>
                <w:szCs w:val="16"/>
              </w:rPr>
              <w:t xml:space="preserve">Innehåll per </w:t>
            </w:r>
          </w:p>
        </w:tc>
        <w:tc>
          <w:tcPr>
            <w:tcW w:w="1064"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rPr>
                <w:b/>
                <w:bCs/>
                <w:sz w:val="16"/>
                <w:szCs w:val="16"/>
              </w:rPr>
            </w:pPr>
            <w:r>
              <w:rPr>
                <w:b/>
                <w:bCs/>
                <w:sz w:val="16"/>
                <w:szCs w:val="16"/>
              </w:rPr>
              <w:t>2 kapslar</w:t>
            </w:r>
          </w:p>
        </w:tc>
        <w:tc>
          <w:tcPr>
            <w:tcW w:w="976"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60"/>
              <w:rPr/>
            </w:pPr>
            <w:r>
              <w:rPr>
                <w:b/>
                <w:bCs/>
                <w:sz w:val="16"/>
                <w:szCs w:val="16"/>
              </w:rPr>
              <w:t xml:space="preserve">4 kapslar </w:t>
            </w:r>
          </w:p>
        </w:tc>
      </w:tr>
      <w:tr>
        <w:trPr/>
        <w:tc>
          <w:tcPr>
            <w:tcW w:w="1935" w:type="dxa"/>
            <w:tcBorders>
              <w:left w:val="single" w:sz="2" w:space="0" w:color="000000"/>
              <w:bottom w:val="single" w:sz="2" w:space="0" w:color="000000"/>
            </w:tcBorders>
            <w:shd w:fill="auto" w:val="clear"/>
          </w:tcPr>
          <w:p>
            <w:pPr>
              <w:pStyle w:val="Tabellinnehll"/>
              <w:widowControl w:val="false"/>
              <w:spacing w:before="0" w:after="160"/>
              <w:rPr/>
            </w:pPr>
            <w:r>
              <w:rPr>
                <w:sz w:val="16"/>
                <w:szCs w:val="16"/>
              </w:rPr>
              <w:t>MSM (metylsulfonylmetan)</w:t>
            </w:r>
          </w:p>
        </w:tc>
        <w:tc>
          <w:tcPr>
            <w:tcW w:w="1064" w:type="dxa"/>
            <w:tcBorders>
              <w:left w:val="single" w:sz="2" w:space="0" w:color="000000"/>
              <w:bottom w:val="single" w:sz="2" w:space="0" w:color="000000"/>
            </w:tcBorders>
            <w:shd w:fill="auto" w:val="clear"/>
          </w:tcPr>
          <w:p>
            <w:pPr>
              <w:pStyle w:val="Tabellinnehll"/>
              <w:widowControl w:val="false"/>
              <w:spacing w:before="0" w:after="160"/>
              <w:rPr>
                <w:sz w:val="16"/>
                <w:szCs w:val="16"/>
              </w:rPr>
            </w:pPr>
            <w:r>
              <w:rPr>
                <w:sz w:val="16"/>
                <w:szCs w:val="16"/>
              </w:rPr>
              <w:t>500 mg</w:t>
            </w:r>
          </w:p>
        </w:tc>
        <w:tc>
          <w:tcPr>
            <w:tcW w:w="976"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sz w:val="16"/>
                <w:szCs w:val="16"/>
              </w:rPr>
            </w:pPr>
            <w:r>
              <w:rPr>
                <w:sz w:val="16"/>
                <w:szCs w:val="16"/>
              </w:rPr>
              <w:t>1000 mg</w:t>
            </w:r>
          </w:p>
        </w:tc>
      </w:tr>
      <w:tr>
        <w:trPr/>
        <w:tc>
          <w:tcPr>
            <w:tcW w:w="1935" w:type="dxa"/>
            <w:tcBorders>
              <w:left w:val="single" w:sz="2" w:space="0" w:color="000000"/>
              <w:bottom w:val="single" w:sz="2" w:space="0" w:color="000000"/>
            </w:tcBorders>
            <w:shd w:fill="auto" w:val="clear"/>
          </w:tcPr>
          <w:p>
            <w:pPr>
              <w:pStyle w:val="Brdtext"/>
              <w:widowControl w:val="false"/>
              <w:spacing w:before="0" w:after="0"/>
              <w:rPr/>
            </w:pPr>
            <w:r>
              <w:rPr>
                <w:sz w:val="16"/>
                <w:szCs w:val="16"/>
              </w:rPr>
              <w:t>Cissus Quadrangularis</w:t>
            </w:r>
          </w:p>
        </w:tc>
        <w:tc>
          <w:tcPr>
            <w:tcW w:w="1064" w:type="dxa"/>
            <w:tcBorders>
              <w:left w:val="single" w:sz="2" w:space="0" w:color="000000"/>
              <w:bottom w:val="single" w:sz="2" w:space="0" w:color="000000"/>
            </w:tcBorders>
            <w:shd w:fill="auto" w:val="clear"/>
          </w:tcPr>
          <w:p>
            <w:pPr>
              <w:pStyle w:val="Tabellinnehll"/>
              <w:widowControl w:val="false"/>
              <w:spacing w:before="0" w:after="160"/>
              <w:rPr>
                <w:sz w:val="16"/>
                <w:szCs w:val="16"/>
              </w:rPr>
            </w:pPr>
            <w:r>
              <w:rPr>
                <w:sz w:val="16"/>
                <w:szCs w:val="16"/>
              </w:rPr>
              <w:t>400 mg</w:t>
            </w:r>
          </w:p>
        </w:tc>
        <w:tc>
          <w:tcPr>
            <w:tcW w:w="976"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sz w:val="16"/>
                <w:szCs w:val="16"/>
              </w:rPr>
            </w:pPr>
            <w:r>
              <w:rPr>
                <w:sz w:val="16"/>
                <w:szCs w:val="16"/>
              </w:rPr>
              <w:t>800 mg</w:t>
            </w:r>
          </w:p>
        </w:tc>
      </w:tr>
      <w:tr>
        <w:trPr/>
        <w:tc>
          <w:tcPr>
            <w:tcW w:w="1935" w:type="dxa"/>
            <w:tcBorders>
              <w:left w:val="single" w:sz="2" w:space="0" w:color="000000"/>
              <w:bottom w:val="single" w:sz="2" w:space="0" w:color="000000"/>
            </w:tcBorders>
            <w:shd w:fill="auto" w:val="clear"/>
          </w:tcPr>
          <w:p>
            <w:pPr>
              <w:pStyle w:val="Tabellinnehll"/>
              <w:widowControl w:val="false"/>
              <w:spacing w:before="0" w:after="160"/>
              <w:rPr/>
            </w:pPr>
            <w:r>
              <w:rPr>
                <w:sz w:val="16"/>
                <w:szCs w:val="16"/>
              </w:rPr>
              <w:t>Nyponextrakt</w:t>
            </w:r>
          </w:p>
        </w:tc>
        <w:tc>
          <w:tcPr>
            <w:tcW w:w="1064" w:type="dxa"/>
            <w:tcBorders>
              <w:left w:val="single" w:sz="2" w:space="0" w:color="000000"/>
              <w:bottom w:val="single" w:sz="2" w:space="0" w:color="000000"/>
            </w:tcBorders>
            <w:shd w:fill="auto" w:val="clear"/>
          </w:tcPr>
          <w:p>
            <w:pPr>
              <w:pStyle w:val="Tabellinnehll"/>
              <w:widowControl w:val="false"/>
              <w:spacing w:before="0" w:after="160"/>
              <w:rPr>
                <w:sz w:val="16"/>
                <w:szCs w:val="16"/>
              </w:rPr>
            </w:pPr>
            <w:r>
              <w:rPr>
                <w:sz w:val="16"/>
                <w:szCs w:val="16"/>
              </w:rPr>
              <w:t>200 mg</w:t>
            </w:r>
          </w:p>
        </w:tc>
        <w:tc>
          <w:tcPr>
            <w:tcW w:w="976"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sz w:val="16"/>
                <w:szCs w:val="16"/>
              </w:rPr>
            </w:pPr>
            <w:r>
              <w:rPr>
                <w:sz w:val="16"/>
                <w:szCs w:val="16"/>
              </w:rPr>
              <w:t>400 mg</w:t>
            </w:r>
          </w:p>
        </w:tc>
      </w:tr>
    </w:tbl>
    <w:p>
      <w:pPr>
        <w:pStyle w:val="Rubrik4press"/>
        <w:rPr/>
      </w:pPr>
      <w:r>
        <w:rPr>
          <w:sz w:val="18"/>
          <w:szCs w:val="18"/>
        </w:rPr>
        <w:br/>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r>
    </w:p>
    <w:p>
      <w:pPr>
        <w:pStyle w:val="Rubrik4press"/>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b/>
          <w:sz w:val="18"/>
          <w:szCs w:val="18"/>
        </w:rPr>
        <w:t xml:space="preserve">KOSTTILLSKOTT </w:t>
      </w:r>
    </w:p>
    <w:p>
      <w:pPr>
        <w:pStyle w:val="Brdtextpress"/>
        <w:rPr/>
      </w:pPr>
      <w:r>
        <w:rPr/>
        <w:t>Detta är ett kosttillskott och bör ej användas som ett alternativ till en varierad kost. Den rekommenderade dagliga dosen bör ej överskridas. Förvaras oåtkomlig för små barn. Tänk på vikten av en mångsidig och balanserad kost och en hälsosam livsstil. Produkten är avsedd för friska personer över 18 år. Om Du är gravid, ammande, lider av sjukdom eller behandlas med läkemedel bör Du kontakta läkare innan Du använder produkten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w:t>
    </w:r>
    <w:r>
      <w:rPr/>
      <w:t>3</w:t>
    </w:r>
    <w:r>
      <w:rPr/>
      <w:t>-0</w:t>
    </w:r>
    <w:r>
      <w:rPr/>
      <w:t>9</w:t>
    </w:r>
    <w:r>
      <w:rPr/>
      <w:t>-0</w:t>
    </w:r>
    <w:r>
      <w:rPr/>
      <w:t>4</w:t>
    </w:r>
  </w:p>
  <w:p>
    <w:pPr>
      <w:pStyle w:val="Sidhuvud"/>
      <w:rPr/>
    </w:pPr>
    <w:r>
      <w:rPr/>
      <w:tab/>
      <w:tab/>
      <w:t>Produktblad: Joint Fusion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arktbetonad">
    <w:name w:val="Strong"/>
    <w:qFormat/>
    <w:rPr>
      <w:b/>
      <w:bCs/>
    </w:rPr>
  </w:style>
  <w:style w:type="character" w:styleId="Internetlnk">
    <w:name w:val="Hyperlink"/>
    <w:rPr>
      <w:color w:val="000080"/>
      <w:u w:val="single"/>
      <w:lang w:val="zxx" w:eastAsia="zxx" w:bidi="zxx"/>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LibreOffice/7.5.1.2$Windows_X86_64 LibreOffice_project/fcbaee479e84c6cd81291587d2ee68cba099e129</Application>
  <AppVersion>15.0000</AppVersion>
  <DocSecurity>0</DocSecurity>
  <Pages>2</Pages>
  <Words>219</Words>
  <Characters>1428</Characters>
  <CharactersWithSpaces>1681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2023-09-04T10:27:07Z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