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press"/>
        <w:jc w:val="left"/>
        <w:rPr/>
      </w:pPr>
      <w:r>
        <w:rPr>
          <w:rStyle w:val="Starktbetonad"/>
          <w:b/>
        </w:rPr>
        <w:t xml:space="preserve">Trib-70, </w:t>
      </w:r>
      <w:r>
        <w:rPr>
          <w:rStyle w:val="Starktbetonad"/>
          <w:b w:val="false"/>
          <w:bCs w:val="false"/>
        </w:rPr>
        <w:t>100</w:t>
      </w:r>
      <w:r>
        <w:rPr>
          <w:rStyle w:val="Starktbetonad"/>
          <w:b w:val="false"/>
          <w:bCs w:val="false"/>
          <w:i w:val="false"/>
          <w:iCs w:val="false"/>
        </w:rPr>
        <w:t xml:space="preserve"> kapslar</w:t>
      </w:r>
    </w:p>
    <w:p>
      <w:pPr>
        <w:pStyle w:val="Rubrik2press"/>
        <w:jc w:val="left"/>
        <w:rPr/>
      </w:pPr>
      <w:r>
        <w:rPr>
          <w:rStyle w:val="Starktbetonad"/>
          <w:b/>
          <w:sz w:val="20"/>
          <w:szCs w:val="20"/>
        </w:rPr>
        <w:t xml:space="preserve">Art nr. </w:t>
      </w:r>
      <w:r>
        <w:rPr>
          <w:rStyle w:val="Starktbetonad"/>
          <w:b w:val="false"/>
          <w:bCs w:val="false"/>
          <w:sz w:val="20"/>
          <w:szCs w:val="20"/>
        </w:rPr>
        <w:t>130</w:t>
      </w:r>
    </w:p>
    <w:p>
      <w:pPr>
        <w:pStyle w:val="Rubrik2press"/>
        <w:jc w:val="left"/>
        <w:rPr>
          <w:rStyle w:val="Starktbetonad"/>
        </w:rPr>
      </w:pPr>
      <w:r>
        <w:rPr/>
      </w:r>
    </w:p>
    <w:p>
      <w:pPr>
        <w:pStyle w:val="Brdtext"/>
        <w:rPr/>
      </w:pPr>
      <w:r>
        <w:rPr>
          <w:rStyle w:val="Starktbetonad"/>
          <w:rFonts w:ascii="Arial" w:hAnsi="Arial"/>
          <w:b/>
          <w:i w:val="false"/>
          <w:caps w:val="false"/>
          <w:smallCaps w:val="false"/>
          <w:color w:val="auto"/>
          <w:spacing w:val="0"/>
          <w:sz w:val="20"/>
          <w:szCs w:val="20"/>
        </w:rPr>
        <w:t>X-Strong 70%</w:t>
        <w:br/>
      </w:r>
      <w:r>
        <w:rPr>
          <w:rStyle w:val="Starktbetonad"/>
          <w:rFonts w:ascii="Arial" w:hAnsi="Arial"/>
          <w:b w:val="false"/>
          <w:i w:val="false"/>
          <w:caps w:val="false"/>
          <w:smallCaps w:val="false"/>
          <w:color w:val="auto"/>
          <w:spacing w:val="0"/>
          <w:sz w:val="20"/>
          <w:szCs w:val="20"/>
        </w:rPr>
        <w:br/>
      </w:r>
      <w:r>
        <w:rPr>
          <w:rStyle w:val="Starktbetonad"/>
          <w:rFonts w:ascii="Arial" w:hAnsi="Arial"/>
          <w:b/>
          <w:i w:val="false"/>
          <w:caps w:val="false"/>
          <w:smallCaps w:val="false"/>
          <w:color w:val="auto"/>
          <w:spacing w:val="0"/>
          <w:sz w:val="20"/>
          <w:szCs w:val="20"/>
        </w:rPr>
        <w:t>Trib-70 är ett kosttillskott i kapselform.</w:t>
        <w:br/>
      </w:r>
      <w:r>
        <w:rPr>
          <w:rStyle w:val="Starktbetonad"/>
          <w:rFonts w:ascii="Arial" w:hAnsi="Arial"/>
          <w:b w:val="false"/>
          <w:i w:val="false"/>
          <w:caps w:val="false"/>
          <w:smallCaps w:val="false"/>
          <w:color w:val="auto"/>
          <w:spacing w:val="0"/>
          <w:sz w:val="20"/>
          <w:szCs w:val="20"/>
        </w:rPr>
        <w:t>Varje kapsel innehåller hela 750mg , Tribulus Terrestris (Tiggarnöt) med en koncentration på 70% furostanolsaponiner vilket gör produkten till en av de mest koncentrerade på marknaden.</w:t>
      </w:r>
    </w:p>
    <w:p>
      <w:pPr>
        <w:pStyle w:val="Brdtext"/>
        <w:rPr>
          <w:rFonts w:ascii="Arial" w:hAnsi="Arial"/>
          <w:color w:val="auto"/>
          <w:sz w:val="20"/>
          <w:szCs w:val="20"/>
        </w:rPr>
      </w:pPr>
      <w:r>
        <w:rPr>
          <w:rFonts w:ascii="Arial" w:hAnsi="Arial"/>
          <w:color w:val="auto"/>
          <w:sz w:val="20"/>
          <w:szCs w:val="20"/>
        </w:rPr>
        <w:t>Tribulus Terrestris har en lång historia av användning i traditionella naturmedel i Kina, Indien och delar av Europa.</w:t>
      </w:r>
    </w:p>
    <w:p>
      <w:pPr>
        <w:pStyle w:val="Brdtextpress"/>
        <w:numPr>
          <w:ilvl w:val="0"/>
          <w:numId w:val="2"/>
        </w:numPr>
        <w:rPr/>
      </w:pPr>
      <w:r>
        <w:rPr>
          <w:rStyle w:val="Starktbetonad"/>
        </w:rPr>
        <w:t>Trib 70 är en välbeprövad produkt inom produktkategorin muskelbyggnad samt lust och har funnits på marknaden sedan 2002 (20 år)</w:t>
      </w:r>
    </w:p>
    <w:p>
      <w:pPr>
        <w:pStyle w:val="Brdtextpress"/>
        <w:numPr>
          <w:ilvl w:val="0"/>
          <w:numId w:val="2"/>
        </w:numPr>
        <w:rPr/>
      </w:pPr>
      <w:r>
        <w:rPr>
          <w:rStyle w:val="Starktbetonad"/>
        </w:rPr>
        <w:t>Full dagsdosering ger 3000mg Tribulus och 2100mg furostanolsaponiner.</w:t>
      </w:r>
    </w:p>
    <w:p>
      <w:pPr>
        <w:pStyle w:val="Brdtextpress"/>
        <w:numPr>
          <w:ilvl w:val="0"/>
          <w:numId w:val="2"/>
        </w:numPr>
        <w:rPr/>
      </w:pPr>
      <w:r>
        <w:rPr>
          <w:rStyle w:val="Starktbetonad"/>
        </w:rPr>
        <w:t xml:space="preserve">Standardiserat extrakt vilket ger dig korrekt mängd steroidala saponiner. </w:t>
      </w:r>
    </w:p>
    <w:p>
      <w:pPr>
        <w:pStyle w:val="Tabellfrteckningrubrik"/>
        <w:rPr>
          <w:rStyle w:val="Starktbetonad"/>
        </w:rPr>
      </w:pPr>
      <w:r>
        <w:rPr/>
      </w:r>
    </w:p>
    <w:p>
      <w:pPr>
        <w:pStyle w:val="Rubrik4press"/>
        <w:rPr/>
      </w:pPr>
      <w:r>
        <w:rPr>
          <w:sz w:val="18"/>
          <w:szCs w:val="18"/>
        </w:rPr>
        <w:t>NETTOVIKT</w:t>
      </w:r>
    </w:p>
    <w:p>
      <w:pPr>
        <w:pStyle w:val="Brdtextpress"/>
        <w:rPr/>
      </w:pPr>
      <w:r>
        <w:rPr>
          <w:sz w:val="18"/>
          <w:szCs w:val="18"/>
        </w:rPr>
        <w:t>100 kapslar (50 serveringar)</w:t>
      </w:r>
    </w:p>
    <w:p>
      <w:pPr>
        <w:pStyle w:val="Rubrik4press"/>
        <w:rPr>
          <w:rFonts w:ascii="Arial" w:hAnsi="Arial" w:cs="Arial"/>
          <w:b/>
          <w:bCs/>
        </w:rPr>
      </w:pPr>
      <w:r>
        <w:rPr>
          <w:rFonts w:cs="Arial"/>
          <w:b/>
          <w:bCs/>
          <w:sz w:val="18"/>
          <w:szCs w:val="18"/>
        </w:rPr>
        <w:t>DOSERINGSSTORLEK</w:t>
      </w:r>
    </w:p>
    <w:p>
      <w:pPr>
        <w:pStyle w:val="Brdtextpress"/>
        <w:rPr/>
      </w:pPr>
      <w:r>
        <w:rPr>
          <w:rFonts w:cs="Arial"/>
          <w:b w:val="false"/>
          <w:bCs w:val="false"/>
          <w:sz w:val="18"/>
          <w:szCs w:val="18"/>
        </w:rPr>
        <w:t>1 - 2 kapslar</w:t>
      </w:r>
    </w:p>
    <w:p>
      <w:pPr>
        <w:pStyle w:val="Rubrik4press"/>
        <w:rPr>
          <w:rFonts w:ascii="Arial" w:hAnsi="Arial"/>
          <w:sz w:val="18"/>
          <w:szCs w:val="18"/>
        </w:rPr>
      </w:pPr>
      <w:r>
        <w:rPr>
          <w:sz w:val="18"/>
          <w:szCs w:val="18"/>
        </w:rPr>
        <w:t xml:space="preserve">DOSERING </w:t>
      </w:r>
    </w:p>
    <w:p>
      <w:pPr>
        <w:pStyle w:val="Brdtextpress"/>
        <w:rPr/>
      </w:pPr>
      <w:r>
        <w:rPr>
          <w:b w:val="false"/>
          <w:i w:val="false"/>
          <w:caps w:val="false"/>
          <w:smallCaps w:val="false"/>
          <w:color w:val="auto"/>
          <w:spacing w:val="0"/>
          <w:sz w:val="20"/>
          <w:szCs w:val="20"/>
        </w:rPr>
        <w:t xml:space="preserve">1-2 kapslar, 2 ggr dagligen. 8 veckors kontinuerlig användning följs av 2-3 veckors uppehåll. </w:t>
      </w:r>
      <w:r>
        <w:rPr>
          <w:color w:val="auto"/>
          <w:sz w:val="18"/>
          <w:szCs w:val="18"/>
        </w:rPr>
        <w:t xml:space="preserve"> </w:t>
      </w:r>
      <w:r>
        <w:rPr>
          <w:sz w:val="18"/>
          <w:szCs w:val="18"/>
        </w:rPr>
        <w:t xml:space="preserve"> </w:t>
      </w:r>
    </w:p>
    <w:p>
      <w:pPr>
        <w:pStyle w:val="Rubrik4press"/>
        <w:rPr>
          <w:rFonts w:ascii="Arial" w:hAnsi="Arial"/>
          <w:sz w:val="18"/>
          <w:szCs w:val="18"/>
        </w:rPr>
      </w:pPr>
      <w:r>
        <w:rPr>
          <w:sz w:val="18"/>
          <w:szCs w:val="18"/>
        </w:rPr>
      </w:r>
    </w:p>
    <w:p>
      <w:pPr>
        <w:pStyle w:val="Rubrik4press"/>
        <w:rPr>
          <w:rFonts w:ascii="Arial" w:hAnsi="Arial"/>
          <w:sz w:val="18"/>
          <w:szCs w:val="18"/>
        </w:rPr>
      </w:pPr>
      <w:r>
        <w:rPr>
          <w:sz w:val="18"/>
          <w:szCs w:val="18"/>
        </w:rPr>
        <w:t xml:space="preserve">INGREDIENSER </w:t>
      </w:r>
    </w:p>
    <w:p>
      <w:pPr>
        <w:pStyle w:val="Brdtextpress"/>
        <w:rPr/>
      </w:pPr>
      <w:bookmarkStart w:id="0" w:name="__DdeLink__1616_1454294857"/>
      <w:r>
        <w:rPr>
          <w:b/>
          <w:bCs/>
          <w:i w:val="false"/>
          <w:caps w:val="false"/>
          <w:smallCaps w:val="false"/>
          <w:color w:val="auto"/>
          <w:spacing w:val="0"/>
          <w:sz w:val="20"/>
          <w:szCs w:val="20"/>
        </w:rPr>
        <w:t>Tribulus Terrestris</w:t>
      </w:r>
      <w:bookmarkEnd w:id="0"/>
      <w:r>
        <w:rPr>
          <w:b/>
          <w:bCs/>
          <w:i w:val="false"/>
          <w:caps w:val="false"/>
          <w:smallCaps w:val="false"/>
          <w:color w:val="auto"/>
          <w:spacing w:val="0"/>
          <w:sz w:val="20"/>
          <w:szCs w:val="20"/>
        </w:rPr>
        <w:t>-extrakt</w:t>
      </w:r>
      <w:r>
        <w:rPr>
          <w:b w:val="false"/>
          <w:i w:val="false"/>
          <w:caps w:val="false"/>
          <w:smallCaps w:val="false"/>
          <w:color w:val="auto"/>
          <w:spacing w:val="0"/>
          <w:sz w:val="20"/>
          <w:szCs w:val="20"/>
        </w:rPr>
        <w:t xml:space="preserve"> (standardiserat till 70% furostanolsaponiner), fyllnadsmedel (mikrokristallin cellulosa), smörjmedel (magnesiumstearat), klumpförebyggande medel (kiseldioxid), kapselhölje (bovint gelatin).</w:t>
      </w:r>
      <w:r>
        <w:rPr>
          <w:color w:val="auto"/>
          <w:sz w:val="20"/>
          <w:szCs w:val="20"/>
        </w:rPr>
        <w:t xml:space="preserve"> </w:t>
        <w:br/>
        <w:br/>
      </w:r>
    </w:p>
    <w:p>
      <w:pPr>
        <w:pStyle w:val="Brdtextpress"/>
        <w:rPr>
          <w:b/>
          <w:bCs/>
          <w:color w:val="auto"/>
          <w:sz w:val="20"/>
          <w:szCs w:val="20"/>
        </w:rPr>
      </w:pPr>
      <w:r>
        <w:rPr>
          <w:b/>
          <w:bCs/>
          <w:color w:val="auto"/>
          <w:sz w:val="20"/>
          <w:szCs w:val="20"/>
        </w:rPr>
      </w:r>
    </w:p>
    <w:p>
      <w:pPr>
        <w:pStyle w:val="Brdtextpress"/>
        <w:rPr/>
      </w:pPr>
      <w:r>
        <w:rPr>
          <w:b/>
          <w:bCs/>
          <w:color w:val="auto"/>
          <w:sz w:val="18"/>
          <w:szCs w:val="18"/>
        </w:rPr>
        <w:t>INNEHÅLL</w:t>
      </w:r>
    </w:p>
    <w:tbl>
      <w:tblPr>
        <w:tblW w:w="5100" w:type="dxa"/>
        <w:jc w:val="left"/>
        <w:tblInd w:w="0" w:type="dxa"/>
        <w:tblLayout w:type="fixed"/>
        <w:tblCellMar>
          <w:top w:w="55" w:type="dxa"/>
          <w:left w:w="55" w:type="dxa"/>
          <w:bottom w:w="55" w:type="dxa"/>
          <w:right w:w="55" w:type="dxa"/>
        </w:tblCellMar>
      </w:tblPr>
      <w:tblGrid>
        <w:gridCol w:w="2489"/>
        <w:gridCol w:w="1485"/>
        <w:gridCol w:w="1126"/>
      </w:tblGrid>
      <w:tr>
        <w:trPr/>
        <w:tc>
          <w:tcPr>
            <w:tcW w:w="2489" w:type="dxa"/>
            <w:tcBorders>
              <w:top w:val="single" w:sz="2" w:space="0" w:color="000000"/>
              <w:left w:val="single" w:sz="2" w:space="0" w:color="000000"/>
              <w:bottom w:val="single" w:sz="2" w:space="0" w:color="000000"/>
            </w:tcBorders>
            <w:shd w:fill="auto" w:val="clear"/>
          </w:tcPr>
          <w:p>
            <w:pPr>
              <w:pStyle w:val="Tabellinnehll"/>
              <w:widowControl w:val="false"/>
              <w:spacing w:before="0" w:after="160"/>
              <w:rPr>
                <w:sz w:val="16"/>
                <w:szCs w:val="16"/>
              </w:rPr>
            </w:pPr>
            <w:r>
              <w:rPr>
                <w:b/>
                <w:bCs/>
                <w:sz w:val="16"/>
                <w:szCs w:val="16"/>
              </w:rPr>
              <w:t xml:space="preserve">Innehåll per </w:t>
            </w:r>
          </w:p>
        </w:tc>
        <w:tc>
          <w:tcPr>
            <w:tcW w:w="1485" w:type="dxa"/>
            <w:tcBorders>
              <w:top w:val="single" w:sz="2" w:space="0" w:color="000000"/>
              <w:left w:val="single" w:sz="2" w:space="0" w:color="000000"/>
              <w:bottom w:val="single" w:sz="2" w:space="0" w:color="000000"/>
            </w:tcBorders>
            <w:shd w:fill="auto" w:val="clear"/>
          </w:tcPr>
          <w:p>
            <w:pPr>
              <w:pStyle w:val="Tabellinnehll"/>
              <w:widowControl w:val="false"/>
              <w:spacing w:before="0" w:after="160"/>
              <w:rPr>
                <w:rFonts w:ascii="Calibri" w:hAnsi="Calibri"/>
              </w:rPr>
            </w:pPr>
            <w:r>
              <w:rPr>
                <w:b/>
                <w:bCs/>
                <w:sz w:val="16"/>
                <w:szCs w:val="16"/>
              </w:rPr>
              <w:t>2 kapslar (dagsdos)</w:t>
            </w:r>
          </w:p>
        </w:tc>
        <w:tc>
          <w:tcPr>
            <w:tcW w:w="1126" w:type="dxa"/>
            <w:tcBorders>
              <w:top w:val="single" w:sz="2" w:space="0" w:color="000000"/>
              <w:left w:val="single" w:sz="2" w:space="0" w:color="000000"/>
              <w:bottom w:val="single" w:sz="2" w:space="0" w:color="000000"/>
              <w:right w:val="single" w:sz="2" w:space="0" w:color="000000"/>
            </w:tcBorders>
            <w:shd w:fill="auto" w:val="clear"/>
          </w:tcPr>
          <w:p>
            <w:pPr>
              <w:pStyle w:val="Tabellinnehll"/>
              <w:widowControl w:val="false"/>
              <w:spacing w:before="0" w:after="160"/>
              <w:rPr>
                <w:rFonts w:ascii="Calibri" w:hAnsi="Calibri"/>
              </w:rPr>
            </w:pPr>
            <w:r>
              <w:rPr>
                <w:b/>
                <w:bCs/>
                <w:sz w:val="16"/>
                <w:szCs w:val="16"/>
              </w:rPr>
              <w:t>4 kapslar</w:t>
            </w:r>
          </w:p>
        </w:tc>
      </w:tr>
      <w:tr>
        <w:trPr/>
        <w:tc>
          <w:tcPr>
            <w:tcW w:w="2489" w:type="dxa"/>
            <w:tcBorders>
              <w:left w:val="single" w:sz="2" w:space="0" w:color="000000"/>
              <w:bottom w:val="single" w:sz="2" w:space="0" w:color="000000"/>
            </w:tcBorders>
            <w:shd w:fill="auto" w:val="clear"/>
          </w:tcPr>
          <w:p>
            <w:pPr>
              <w:pStyle w:val="Brdtextpress"/>
              <w:widowControl w:val="false"/>
              <w:spacing w:before="0" w:after="160"/>
              <w:rPr>
                <w:rFonts w:ascii="Calibri" w:hAnsi="Calibri"/>
              </w:rPr>
            </w:pPr>
            <w:r>
              <w:rPr>
                <w:rFonts w:ascii="Calibri" w:hAnsi="Calibri"/>
                <w:b/>
                <w:bCs/>
                <w:i w:val="false"/>
                <w:caps w:val="false"/>
                <w:smallCaps w:val="false"/>
                <w:color w:val="auto"/>
                <w:spacing w:val="0"/>
                <w:sz w:val="16"/>
                <w:szCs w:val="16"/>
              </w:rPr>
              <w:t>Tribulus Terrestris (70% extrakt)</w:t>
            </w:r>
          </w:p>
        </w:tc>
        <w:tc>
          <w:tcPr>
            <w:tcW w:w="1485" w:type="dxa"/>
            <w:tcBorders>
              <w:left w:val="single" w:sz="2" w:space="0" w:color="000000"/>
              <w:bottom w:val="single" w:sz="2" w:space="0" w:color="000000"/>
            </w:tcBorders>
            <w:shd w:fill="auto" w:val="clear"/>
          </w:tcPr>
          <w:p>
            <w:pPr>
              <w:pStyle w:val="Brdtextpress"/>
              <w:widowControl w:val="false"/>
              <w:spacing w:before="0" w:after="113"/>
              <w:rPr>
                <w:rFonts w:ascii="Calibri" w:hAnsi="Calibri"/>
                <w:sz w:val="16"/>
                <w:szCs w:val="16"/>
              </w:rPr>
            </w:pPr>
            <w:r>
              <w:rPr>
                <w:rFonts w:ascii="Calibri" w:hAnsi="Calibri"/>
                <w:sz w:val="16"/>
                <w:szCs w:val="16"/>
              </w:rPr>
              <w:t>1500 mg</w:t>
            </w:r>
          </w:p>
        </w:tc>
        <w:tc>
          <w:tcPr>
            <w:tcW w:w="1126" w:type="dxa"/>
            <w:tcBorders>
              <w:left w:val="single" w:sz="2" w:space="0" w:color="000000"/>
              <w:bottom w:val="single" w:sz="2" w:space="0" w:color="000000"/>
              <w:right w:val="single" w:sz="2" w:space="0" w:color="000000"/>
            </w:tcBorders>
            <w:shd w:fill="auto" w:val="clear"/>
          </w:tcPr>
          <w:p>
            <w:pPr>
              <w:pStyle w:val="Brdtextpress"/>
              <w:widowControl w:val="false"/>
              <w:spacing w:before="0" w:after="113"/>
              <w:rPr>
                <w:rFonts w:ascii="Calibri" w:hAnsi="Calibri"/>
                <w:sz w:val="16"/>
                <w:szCs w:val="16"/>
              </w:rPr>
            </w:pPr>
            <w:r>
              <w:rPr>
                <w:rFonts w:ascii="Calibri" w:hAnsi="Calibri"/>
                <w:sz w:val="16"/>
                <w:szCs w:val="16"/>
              </w:rPr>
              <w:t>3000 mg</w:t>
            </w:r>
          </w:p>
        </w:tc>
      </w:tr>
      <w:tr>
        <w:trPr/>
        <w:tc>
          <w:tcPr>
            <w:tcW w:w="2489" w:type="dxa"/>
            <w:tcBorders>
              <w:left w:val="single" w:sz="2" w:space="0" w:color="000000"/>
              <w:bottom w:val="single" w:sz="2" w:space="0" w:color="000000"/>
            </w:tcBorders>
            <w:shd w:fill="auto" w:val="clear"/>
          </w:tcPr>
          <w:p>
            <w:pPr>
              <w:pStyle w:val="Brdtextpress"/>
              <w:widowControl w:val="false"/>
              <w:spacing w:before="0" w:after="160"/>
              <w:rPr>
                <w:rFonts w:ascii="Calibri" w:hAnsi="Calibri"/>
                <w:sz w:val="16"/>
                <w:szCs w:val="16"/>
              </w:rPr>
            </w:pPr>
            <w:r>
              <w:rPr>
                <w:rFonts w:ascii="Calibri" w:hAnsi="Calibri"/>
                <w:sz w:val="16"/>
                <w:szCs w:val="16"/>
              </w:rPr>
              <w:t>- varav furostanolsaponiner</w:t>
            </w:r>
          </w:p>
        </w:tc>
        <w:tc>
          <w:tcPr>
            <w:tcW w:w="1485" w:type="dxa"/>
            <w:tcBorders>
              <w:left w:val="single" w:sz="2" w:space="0" w:color="000000"/>
              <w:bottom w:val="single" w:sz="2" w:space="0" w:color="000000"/>
            </w:tcBorders>
            <w:shd w:fill="auto" w:val="clear"/>
          </w:tcPr>
          <w:p>
            <w:pPr>
              <w:pStyle w:val="Brdtextpress"/>
              <w:widowControl w:val="false"/>
              <w:spacing w:before="0" w:after="113"/>
              <w:rPr>
                <w:rFonts w:ascii="Calibri" w:hAnsi="Calibri"/>
                <w:sz w:val="16"/>
                <w:szCs w:val="16"/>
              </w:rPr>
            </w:pPr>
            <w:r>
              <w:rPr>
                <w:rFonts w:ascii="Calibri" w:hAnsi="Calibri"/>
                <w:sz w:val="16"/>
                <w:szCs w:val="16"/>
              </w:rPr>
              <w:t>1050mg</w:t>
            </w:r>
          </w:p>
        </w:tc>
        <w:tc>
          <w:tcPr>
            <w:tcW w:w="1126" w:type="dxa"/>
            <w:tcBorders>
              <w:left w:val="single" w:sz="2" w:space="0" w:color="000000"/>
              <w:bottom w:val="single" w:sz="2" w:space="0" w:color="000000"/>
              <w:right w:val="single" w:sz="2" w:space="0" w:color="000000"/>
            </w:tcBorders>
            <w:shd w:fill="auto" w:val="clear"/>
          </w:tcPr>
          <w:p>
            <w:pPr>
              <w:pStyle w:val="Brdtextpress"/>
              <w:widowControl w:val="false"/>
              <w:spacing w:before="0" w:after="113"/>
              <w:rPr>
                <w:rFonts w:ascii="Calibri" w:hAnsi="Calibri"/>
                <w:sz w:val="16"/>
                <w:szCs w:val="16"/>
              </w:rPr>
            </w:pPr>
            <w:r>
              <w:rPr>
                <w:rFonts w:ascii="Calibri" w:hAnsi="Calibri"/>
                <w:sz w:val="16"/>
                <w:szCs w:val="16"/>
              </w:rPr>
              <w:t>2100mg</w:t>
            </w:r>
          </w:p>
        </w:tc>
      </w:tr>
    </w:tbl>
    <w:p>
      <w:pPr>
        <w:pStyle w:val="Tabellfrteckningrubrik"/>
        <w:rPr/>
      </w:pPr>
      <w:r>
        <w:rPr>
          <w:rFonts w:ascii="Calibri" w:hAnsi="Calibri"/>
          <w:b w:val="false"/>
          <w:bCs w:val="false"/>
          <w:i/>
          <w:iCs/>
          <w:color w:val="auto"/>
          <w:sz w:val="16"/>
          <w:szCs w:val="16"/>
        </w:rPr>
        <w:br/>
      </w:r>
      <w:r>
        <w:rPr>
          <w:rFonts w:ascii="Arial" w:hAnsi="Arial"/>
          <w:sz w:val="18"/>
          <w:szCs w:val="18"/>
        </w:rPr>
        <w:br/>
        <w:br/>
      </w:r>
    </w:p>
    <w:p>
      <w:pPr>
        <w:pStyle w:val="Tabellfrteckningrubrik"/>
        <w:rPr>
          <w:rFonts w:ascii="Arial" w:hAnsi="Arial"/>
          <w:sz w:val="18"/>
          <w:szCs w:val="18"/>
        </w:rPr>
      </w:pPr>
      <w:r>
        <w:rPr>
          <w:rFonts w:ascii="Arial" w:hAnsi="Arial"/>
          <w:sz w:val="18"/>
          <w:szCs w:val="18"/>
        </w:rPr>
      </w:r>
    </w:p>
    <w:p>
      <w:pPr>
        <w:pStyle w:val="Tabellfrteckningrubrik"/>
        <w:rPr/>
      </w:pPr>
      <w:r>
        <w:rPr>
          <w:rFonts w:ascii="Arial" w:hAnsi="Arial"/>
          <w:sz w:val="18"/>
          <w:szCs w:val="18"/>
        </w:rPr>
        <w:t>FÖRVARING</w:t>
        <w:br/>
      </w:r>
      <w:r>
        <w:rPr>
          <w:rStyle w:val="Starktbetonad"/>
          <w:rFonts w:ascii="Arial" w:hAnsi="Arial"/>
          <w:b w:val="false"/>
          <w:bCs w:val="false"/>
          <w:sz w:val="18"/>
          <w:szCs w:val="18"/>
        </w:rPr>
        <w:t>Torrt, svalt, väl förslutet och oåtkomligt för barn.</w:t>
      </w:r>
    </w:p>
    <w:p>
      <w:pPr>
        <w:pStyle w:val="Rubrik4press"/>
        <w:rPr/>
      </w:pPr>
      <w:r>
        <w:rPr>
          <w:rStyle w:val="Starktbetonad"/>
          <w:b/>
          <w:sz w:val="18"/>
          <w:szCs w:val="18"/>
        </w:rPr>
        <w:t xml:space="preserve">KOSTTILLSKOTT </w:t>
      </w:r>
    </w:p>
    <w:p>
      <w:pPr>
        <w:pStyle w:val="Brdtextpress"/>
        <w:rPr/>
      </w:pPr>
      <w:r>
        <w:rPr>
          <w:sz w:val="18"/>
          <w:szCs w:val="18"/>
        </w:rPr>
        <w:t>Detta är ett kosttillskott och bör ej användas som ett alternativ till en varierad kost. Den rekommenderade dagliga dosen bör ej överskridas. Förvaras oåtkomlig för små barn. Tänk på vikten av en mångsidig och balanserad kost och en hälsosam livsstil. Produkten är avsedd för friska personer över 18 år. Om Du är gravid, ammande, lider av sjukdom eller behandlas med läkemedel bör Du kontakta läkare innan Du använder produkten.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sz w:val="18"/>
          <w:szCs w:val="18"/>
        </w:rPr>
      </w:pPr>
      <w:r>
        <w:rPr>
          <w:sz w:val="18"/>
          <w:szCs w:val="18"/>
        </w:rPr>
      </w:r>
    </w:p>
    <w:p>
      <w:pPr>
        <w:pStyle w:val="Tabellfrteckningrubrik"/>
        <w:spacing w:before="240" w:after="120"/>
        <w:rPr/>
      </w:pPr>
      <w:r>
        <w:rPr/>
      </w:r>
    </w:p>
    <w:sectPr>
      <w:headerReference w:type="default" r:id="rId2"/>
      <w:footerReference w:type="default" r:id="rId3"/>
      <w:type w:val="nextPage"/>
      <w:pgSz w:w="11906" w:h="16838"/>
      <w:pgMar w:left="1440" w:right="1440" w:gutter="0" w:header="708" w:top="1440" w:footer="1440" w:bottom="1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2022-06-27</w:t>
    </w:r>
  </w:p>
  <w:p>
    <w:pPr>
      <w:pStyle w:val="Sidhuvud"/>
      <w:rPr/>
    </w:pPr>
    <w:r>
      <w:rPr/>
      <w:tab/>
      <w:tab/>
      <w:t>Produktblad: Trib-70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287257"/>
    <w:rPr/>
  </w:style>
  <w:style w:type="character" w:styleId="SidfotChar" w:customStyle="1">
    <w:name w:val="Sidfot Char"/>
    <w:basedOn w:val="DefaultParagraphFont"/>
    <w:uiPriority w:val="99"/>
    <w:qFormat/>
    <w:rsid w:val="00287257"/>
    <w:rPr/>
  </w:style>
  <w:style w:type="character" w:styleId="Starktbetonad">
    <w:name w:val="Strong"/>
    <w:qFormat/>
    <w:rPr>
      <w:b/>
      <w:bCs/>
    </w:rPr>
  </w:style>
  <w:style w:type="character" w:styleId="Internetlnk">
    <w:name w:val="Hyperlink"/>
    <w:rPr>
      <w:color w:val="000080"/>
      <w:u w:val="single"/>
      <w:lang w:val="zxx" w:eastAsia="zxx" w:bidi="zxx"/>
    </w:rPr>
  </w:style>
  <w:style w:type="character" w:styleId="Punktuppstllning">
    <w:name w:val="Punktuppställning"/>
    <w:qFormat/>
    <w:rPr>
      <w:rFonts w:ascii="OpenSymbol" w:hAnsi="OpenSymbol" w:eastAsia="OpenSymbol" w:cs="OpenSymbol"/>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Sakregisterrubrik">
    <w:name w:val="Index Heading"/>
    <w:basedOn w:val="Rubrik"/>
    <w:pPr/>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Application>LibreOffice/7.5.1.2$Windows_X86_64 LibreOffice_project/fcbaee479e84c6cd81291587d2ee68cba099e129</Application>
  <AppVersion>15.0000</AppVersion>
  <DocSecurity>0</DocSecurity>
  <Pages>2</Pages>
  <Words>263</Words>
  <Characters>1659</Characters>
  <CharactersWithSpaces>1958</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2023-05-24T11:12:28Z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