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T-1000, </w:t>
      </w:r>
      <w:r>
        <w:rPr>
          <w:rStyle w:val="Starktbetonad"/>
          <w:b w:val="false"/>
          <w:bCs w:val="false"/>
        </w:rPr>
        <w:t>250</w:t>
      </w:r>
      <w:r>
        <w:rPr>
          <w:rStyle w:val="Starktbetonad"/>
          <w:b w:val="false"/>
          <w:bCs w:val="false"/>
          <w:i w:val="false"/>
          <w:iCs w:val="false"/>
        </w:rPr>
        <w:t>g</w:t>
      </w:r>
    </w:p>
    <w:p>
      <w:pPr>
        <w:pStyle w:val="Rubrik2press"/>
        <w:jc w:val="left"/>
        <w:rPr/>
      </w:pPr>
      <w:r>
        <w:rPr>
          <w:rStyle w:val="Starktbetonad"/>
          <w:sz w:val="20"/>
          <w:szCs w:val="20"/>
        </w:rPr>
        <w:t>Art nr. 286</w:t>
      </w:r>
      <w:r>
        <w:rPr>
          <w:rStyle w:val="Starktbetonad"/>
          <w:b w:val="false"/>
          <w:bCs w:val="false"/>
          <w:sz w:val="20"/>
          <w:szCs w:val="20"/>
        </w:rPr>
        <w:t>, Lemon Mint</w:t>
      </w:r>
    </w:p>
    <w:p>
      <w:pPr>
        <w:pStyle w:val="Brdtextpress"/>
        <w:rPr>
          <w:rStyle w:val="Starktbetonad"/>
          <w:rFonts w:ascii="Arial" w:hAnsi="Arial"/>
          <w:sz w:val="18"/>
          <w:szCs w:val="18"/>
        </w:rPr>
      </w:pPr>
      <w:r>
        <w:rPr>
          <w:sz w:val="18"/>
          <w:szCs w:val="18"/>
        </w:rPr>
      </w:r>
    </w:p>
    <w:p>
      <w:pPr>
        <w:pStyle w:val="Brdtextpress"/>
        <w:rPr/>
      </w:pPr>
      <w:r>
        <w:rPr>
          <w:rStyle w:val="Starktbetonad"/>
          <w:sz w:val="20"/>
          <w:szCs w:val="20"/>
        </w:rPr>
        <w:t>Fairing T-1000 Är ett kosttillskott baserat på 9 olika intressanta ingredienser i form av aminosyror, vegetabiliska extrakt samt mineralen zink.</w:t>
      </w:r>
    </w:p>
    <w:p>
      <w:pPr>
        <w:pStyle w:val="Brdtextpress"/>
        <w:rPr/>
      </w:pPr>
      <w:r>
        <w:rPr>
          <w:sz w:val="20"/>
          <w:szCs w:val="20"/>
        </w:rPr>
        <w:t>Produkten är lämplig för dig som tränar extra hårt och utsetts för hård fysisk ansträngning.</w:t>
        <w:br/>
      </w:r>
    </w:p>
    <w:p>
      <w:pPr>
        <w:pStyle w:val="Brdtextpress"/>
        <w:numPr>
          <w:ilvl w:val="0"/>
          <w:numId w:val="2"/>
        </w:numPr>
        <w:rPr/>
      </w:pPr>
      <w:r>
        <w:rPr>
          <w:b w:val="false"/>
          <w:i w:val="false"/>
          <w:sz w:val="20"/>
          <w:szCs w:val="20"/>
        </w:rPr>
        <w:t>Lättblandat och välsmakande pulver</w:t>
      </w:r>
    </w:p>
    <w:p>
      <w:pPr>
        <w:pStyle w:val="Brdtextpress"/>
        <w:numPr>
          <w:ilvl w:val="0"/>
          <w:numId w:val="2"/>
        </w:numPr>
        <w:rPr/>
      </w:pPr>
      <w:r>
        <w:rPr>
          <w:b w:val="false"/>
          <w:i w:val="false"/>
          <w:sz w:val="20"/>
          <w:szCs w:val="20"/>
        </w:rPr>
        <w:t>Zink för normala testosteronnivåer</w:t>
      </w:r>
    </w:p>
    <w:p>
      <w:pPr>
        <w:pStyle w:val="Brdtextpress"/>
        <w:numPr>
          <w:ilvl w:val="0"/>
          <w:numId w:val="2"/>
        </w:numPr>
        <w:rPr/>
      </w:pPr>
      <w:r>
        <w:rPr>
          <w:b w:val="false"/>
          <w:i w:val="false"/>
          <w:sz w:val="20"/>
          <w:szCs w:val="20"/>
        </w:rPr>
        <w:t>100% av DRI för Zink per portion</w:t>
      </w:r>
    </w:p>
    <w:p>
      <w:pPr>
        <w:pStyle w:val="Brdtextpress"/>
        <w:numPr>
          <w:ilvl w:val="0"/>
          <w:numId w:val="2"/>
        </w:numPr>
        <w:rPr/>
      </w:pPr>
      <w:r>
        <w:rPr>
          <w:b w:val="false"/>
          <w:i w:val="false"/>
          <w:sz w:val="20"/>
          <w:szCs w:val="20"/>
        </w:rPr>
        <w:t>3000 mg Arginin</w:t>
      </w:r>
    </w:p>
    <w:p>
      <w:pPr>
        <w:pStyle w:val="Brdtextpress"/>
        <w:numPr>
          <w:ilvl w:val="0"/>
          <w:numId w:val="2"/>
        </w:numPr>
        <w:rPr/>
      </w:pPr>
      <w:r>
        <w:rPr>
          <w:b w:val="false"/>
          <w:i w:val="false"/>
          <w:sz w:val="20"/>
          <w:szCs w:val="20"/>
        </w:rPr>
        <w:t>3000mg D-asparaginsyra (DAA)</w:t>
      </w:r>
    </w:p>
    <w:p>
      <w:pPr>
        <w:pStyle w:val="Brdtextpress"/>
        <w:numPr>
          <w:ilvl w:val="0"/>
          <w:numId w:val="2"/>
        </w:numPr>
        <w:rPr/>
      </w:pPr>
      <w:r>
        <w:rPr>
          <w:b w:val="false"/>
          <w:i w:val="false"/>
          <w:sz w:val="20"/>
          <w:szCs w:val="20"/>
        </w:rPr>
        <w:t>400mg Tribulus Terrestris</w:t>
      </w:r>
    </w:p>
    <w:p>
      <w:pPr>
        <w:pStyle w:val="Tabellfrteckningrubrik"/>
        <w:rPr>
          <w:rStyle w:val="Starktbetonad"/>
          <w:rFonts w:ascii="Arial" w:hAnsi="Arial"/>
          <w:color w:val="auto"/>
          <w:sz w:val="20"/>
          <w:szCs w:val="20"/>
        </w:rPr>
      </w:pPr>
      <w:r>
        <w:rPr>
          <w:rFonts w:ascii="Arial" w:hAnsi="Arial"/>
          <w:color w:val="auto"/>
          <w:sz w:val="20"/>
          <w:szCs w:val="20"/>
        </w:rPr>
      </w:r>
    </w:p>
    <w:p>
      <w:pPr>
        <w:pStyle w:val="Rubrik4press"/>
        <w:rPr/>
      </w:pPr>
      <w:r>
        <w:rPr>
          <w:sz w:val="18"/>
          <w:szCs w:val="18"/>
        </w:rPr>
        <w:br/>
        <w:t>NETTOVIKT</w:t>
      </w:r>
    </w:p>
    <w:p>
      <w:pPr>
        <w:pStyle w:val="Brdtextpress"/>
        <w:rPr/>
      </w:pPr>
      <w:r>
        <w:rPr>
          <w:rFonts w:cs="Arial"/>
          <w:b w:val="false"/>
          <w:bCs w:val="false"/>
          <w:sz w:val="18"/>
          <w:szCs w:val="18"/>
        </w:rPr>
        <w:t>250g (ca 25 serveringar)</w:t>
      </w:r>
    </w:p>
    <w:p>
      <w:pPr>
        <w:pStyle w:val="Rubrik4press"/>
        <w:rPr>
          <w:rFonts w:ascii="Arial" w:hAnsi="Arial" w:cs="Arial"/>
          <w:b/>
          <w:b/>
          <w:bCs/>
        </w:rPr>
      </w:pPr>
      <w:r>
        <w:rPr>
          <w:rFonts w:cs="Arial"/>
          <w:b/>
          <w:bCs/>
          <w:sz w:val="18"/>
          <w:szCs w:val="18"/>
        </w:rPr>
        <w:t>DOSERINGSSTORLEK</w:t>
      </w:r>
    </w:p>
    <w:p>
      <w:pPr>
        <w:pStyle w:val="Brdtextpress"/>
        <w:rPr/>
      </w:pPr>
      <w:r>
        <w:rPr>
          <w:rFonts w:cs="Arial"/>
          <w:b w:val="false"/>
          <w:bCs w:val="false"/>
          <w:sz w:val="18"/>
          <w:szCs w:val="18"/>
        </w:rPr>
        <w:t>1 skopa (10g)</w:t>
      </w:r>
    </w:p>
    <w:p>
      <w:pPr>
        <w:pStyle w:val="Rubrik4press"/>
        <w:rPr>
          <w:rFonts w:ascii="Arial" w:hAnsi="Arial"/>
          <w:sz w:val="20"/>
          <w:szCs w:val="20"/>
        </w:rPr>
      </w:pPr>
      <w:r>
        <w:rPr>
          <w:sz w:val="18"/>
          <w:szCs w:val="18"/>
        </w:rPr>
        <w:t xml:space="preserve">DOSERING </w:t>
      </w:r>
    </w:p>
    <w:p>
      <w:pPr>
        <w:pStyle w:val="Brdtextpress"/>
        <w:rPr>
          <w:rFonts w:ascii="Arial" w:hAnsi="Arial"/>
          <w:color w:val="auto"/>
          <w:sz w:val="20"/>
          <w:szCs w:val="20"/>
        </w:rPr>
      </w:pPr>
      <w:r>
        <w:rPr>
          <w:b w:val="false"/>
          <w:i w:val="false"/>
          <w:caps w:val="false"/>
          <w:smallCaps w:val="false"/>
          <w:color w:val="auto"/>
          <w:spacing w:val="0"/>
          <w:sz w:val="20"/>
          <w:szCs w:val="20"/>
        </w:rPr>
        <w:t xml:space="preserve">1 skopa (à 10 gram) blandas i ca 3 dl vatten och och kan intas närsomhelst under dagen. </w:t>
      </w:r>
    </w:p>
    <w:p>
      <w:pPr>
        <w:pStyle w:val="Brdtextpress"/>
        <w:rPr/>
      </w:pPr>
      <w:r>
        <w:rPr>
          <w:b/>
          <w:bCs/>
          <w:sz w:val="18"/>
          <w:szCs w:val="18"/>
        </w:rPr>
        <w:br/>
        <w:t xml:space="preserve">INGREDIENSER </w:t>
        <w:br/>
      </w:r>
      <w:r>
        <w:rPr>
          <w:rFonts w:ascii="Lato;sans-serif" w:hAnsi="Lato;sans-serif"/>
          <w:b w:val="false"/>
          <w:bCs/>
          <w:i w:val="false"/>
          <w:caps w:val="false"/>
          <w:smallCaps w:val="false"/>
          <w:color w:val="auto"/>
          <w:spacing w:val="0"/>
          <w:sz w:val="18"/>
          <w:szCs w:val="18"/>
        </w:rPr>
        <w:t>Arginin-AKG, D-asparginsyra (DAA), Taurin, aromer, Acetyl-L-Karnitin, färgämne, (rödbetspulver), Tribulus Terresteris (tiggarnöt), brännässelextrakt (Urtica Dioca), anti-klumpmedel (trikalciumfosfat), champinjonextrakt, L-theanin, sötningsmedel (sukralos, acesulfam-K), zink-glukonat</w:t>
      </w:r>
      <w:r>
        <w:rPr>
          <w:b w:val="false"/>
          <w:bCs/>
          <w:i w:val="false"/>
          <w:caps w:val="false"/>
          <w:smallCaps w:val="false"/>
          <w:color w:val="auto"/>
          <w:spacing w:val="0"/>
          <w:sz w:val="18"/>
          <w:szCs w:val="18"/>
        </w:rPr>
        <w:t xml:space="preserve"> </w:t>
      </w:r>
      <w:r>
        <w:rPr>
          <w:b/>
          <w:bCs/>
          <w:color w:val="auto"/>
          <w:sz w:val="18"/>
          <w:szCs w:val="18"/>
        </w:rPr>
        <w:t xml:space="preserve"> </w:t>
      </w:r>
    </w:p>
    <w:p>
      <w:pPr>
        <w:pStyle w:val="Tabellfrteckningrubrik"/>
        <w:rPr>
          <w:b/>
          <w:b/>
          <w:bCs/>
          <w:color w:val="auto"/>
          <w:sz w:val="18"/>
          <w:szCs w:val="18"/>
        </w:rPr>
      </w:pPr>
      <w:r>
        <w:rPr>
          <w:b/>
          <w:bCs/>
          <w:color w:val="auto"/>
          <w:sz w:val="18"/>
          <w:szCs w:val="18"/>
        </w:rPr>
      </w:r>
    </w:p>
    <w:p>
      <w:pPr>
        <w:pStyle w:val="Normal"/>
        <w:rPr/>
      </w:pPr>
      <w:r>
        <w:rPr>
          <w:rFonts w:cs="Times;Times New Roman" w:ascii="Times;Times New Roman" w:hAnsi="Times;Times New Roman"/>
          <w:b/>
          <w:bCs/>
          <w:caps/>
          <w:sz w:val="16"/>
          <w:szCs w:val="16"/>
          <w:lang w:val="sv-SE"/>
        </w:rPr>
        <w:t>Näringsinnehåll:</w:t>
      </w:r>
    </w:p>
    <w:tbl>
      <w:tblPr>
        <w:tblW w:w="5835" w:type="dxa"/>
        <w:jc w:val="left"/>
        <w:tblInd w:w="-30" w:type="dxa"/>
        <w:tblCellMar>
          <w:top w:w="55" w:type="dxa"/>
          <w:left w:w="55" w:type="dxa"/>
          <w:bottom w:w="55" w:type="dxa"/>
          <w:right w:w="55" w:type="dxa"/>
        </w:tblCellMar>
      </w:tblPr>
      <w:tblGrid>
        <w:gridCol w:w="2502"/>
        <w:gridCol w:w="1666"/>
        <w:gridCol w:w="1667"/>
      </w:tblGrid>
      <w:tr>
        <w:trPr>
          <w:trHeight w:val="397" w:hRule="exact"/>
        </w:trPr>
        <w:tc>
          <w:tcPr>
            <w:tcW w:w="2502" w:type="dxa"/>
            <w:tcBorders>
              <w:top w:val="single" w:sz="2" w:space="0" w:color="000000"/>
              <w:left w:val="single" w:sz="2" w:space="0" w:color="000000"/>
              <w:bottom w:val="single" w:sz="2" w:space="0" w:color="000000"/>
            </w:tcBorders>
            <w:shd w:fill="auto" w:val="clear"/>
          </w:tcPr>
          <w:p>
            <w:pPr>
              <w:pStyle w:val="Tabellinnehll"/>
              <w:spacing w:before="0" w:after="170"/>
              <w:rPr>
                <w:sz w:val="16"/>
                <w:szCs w:val="16"/>
              </w:rPr>
            </w:pPr>
            <w:r>
              <w:rPr>
                <w:b/>
                <w:bCs/>
                <w:sz w:val="16"/>
                <w:szCs w:val="16"/>
              </w:rPr>
              <w:t xml:space="preserve">Näringsinnehåll per </w:t>
            </w:r>
          </w:p>
        </w:tc>
        <w:tc>
          <w:tcPr>
            <w:tcW w:w="1666" w:type="dxa"/>
            <w:tcBorders>
              <w:top w:val="single" w:sz="2" w:space="0" w:color="000000"/>
              <w:left w:val="single" w:sz="2" w:space="0" w:color="000000"/>
              <w:bottom w:val="single" w:sz="2" w:space="0" w:color="000000"/>
            </w:tcBorders>
            <w:shd w:fill="auto" w:val="clear"/>
          </w:tcPr>
          <w:p>
            <w:pPr>
              <w:pStyle w:val="Tabellinnehll"/>
              <w:spacing w:before="0" w:after="170"/>
              <w:rPr>
                <w:sz w:val="16"/>
                <w:szCs w:val="16"/>
              </w:rPr>
            </w:pPr>
            <w:r>
              <w:rPr>
                <w:b/>
                <w:bCs/>
                <w:sz w:val="16"/>
                <w:szCs w:val="16"/>
              </w:rPr>
              <w:t>100 g</w:t>
            </w:r>
          </w:p>
        </w:tc>
        <w:tc>
          <w:tcPr>
            <w:tcW w:w="1667"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b/>
                <w:b/>
                <w:bCs/>
                <w:sz w:val="16"/>
                <w:szCs w:val="16"/>
              </w:rPr>
            </w:pPr>
            <w:r>
              <w:rPr>
                <w:b/>
                <w:bCs/>
                <w:sz w:val="16"/>
                <w:szCs w:val="16"/>
              </w:rPr>
              <w:t>10g (servering)</w:t>
            </w:r>
          </w:p>
        </w:tc>
      </w:tr>
      <w:tr>
        <w:trPr>
          <w:trHeight w:val="397" w:hRule="exact"/>
        </w:trPr>
        <w:tc>
          <w:tcPr>
            <w:tcW w:w="2502" w:type="dxa"/>
            <w:tcBorders>
              <w:left w:val="single" w:sz="2" w:space="0" w:color="000000"/>
              <w:bottom w:val="single" w:sz="2" w:space="0" w:color="000000"/>
            </w:tcBorders>
            <w:shd w:fill="auto" w:val="clear"/>
          </w:tcPr>
          <w:p>
            <w:pPr>
              <w:pStyle w:val="Tabellinnehll"/>
              <w:spacing w:before="0" w:after="170"/>
              <w:rPr>
                <w:sz w:val="20"/>
                <w:szCs w:val="20"/>
              </w:rPr>
            </w:pPr>
            <w:r>
              <w:rPr>
                <w:sz w:val="16"/>
                <w:szCs w:val="16"/>
              </w:rPr>
              <w:t>Energi</w:t>
            </w:r>
          </w:p>
        </w:tc>
        <w:tc>
          <w:tcPr>
            <w:tcW w:w="1666"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 kcal</w:t>
            </w:r>
          </w:p>
        </w:tc>
        <w:tc>
          <w:tcPr>
            <w:tcW w:w="1667"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 kcal</w:t>
            </w:r>
          </w:p>
        </w:tc>
      </w:tr>
      <w:tr>
        <w:trPr>
          <w:trHeight w:val="397" w:hRule="exact"/>
        </w:trPr>
        <w:tc>
          <w:tcPr>
            <w:tcW w:w="2502" w:type="dxa"/>
            <w:tcBorders>
              <w:left w:val="single" w:sz="2" w:space="0" w:color="000000"/>
              <w:bottom w:val="single" w:sz="2" w:space="0" w:color="000000"/>
            </w:tcBorders>
            <w:shd w:fill="auto" w:val="clear"/>
          </w:tcPr>
          <w:p>
            <w:pPr>
              <w:pStyle w:val="Tabellinnehll"/>
              <w:spacing w:before="0" w:after="170"/>
              <w:rPr>
                <w:sz w:val="20"/>
                <w:szCs w:val="20"/>
              </w:rPr>
            </w:pPr>
            <w:r>
              <w:rPr>
                <w:sz w:val="16"/>
                <w:szCs w:val="16"/>
              </w:rPr>
              <w:t>Protein</w:t>
            </w:r>
          </w:p>
        </w:tc>
        <w:tc>
          <w:tcPr>
            <w:tcW w:w="1666"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 xml:space="preserve"> </w:t>
            </w:r>
            <w:r>
              <w:rPr>
                <w:sz w:val="16"/>
                <w:szCs w:val="16"/>
              </w:rPr>
              <w:t>0 g</w:t>
            </w:r>
          </w:p>
        </w:tc>
        <w:tc>
          <w:tcPr>
            <w:tcW w:w="1667"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 xml:space="preserve"> </w:t>
            </w:r>
            <w:r>
              <w:rPr>
                <w:sz w:val="16"/>
                <w:szCs w:val="16"/>
              </w:rPr>
              <w:t>0 g</w:t>
            </w:r>
          </w:p>
        </w:tc>
      </w:tr>
      <w:tr>
        <w:trPr>
          <w:trHeight w:val="397" w:hRule="exact"/>
        </w:trPr>
        <w:tc>
          <w:tcPr>
            <w:tcW w:w="2502" w:type="dxa"/>
            <w:tcBorders>
              <w:left w:val="single" w:sz="2" w:space="0" w:color="000000"/>
              <w:bottom w:val="single" w:sz="2" w:space="0" w:color="000000"/>
            </w:tcBorders>
            <w:shd w:fill="auto" w:val="clear"/>
          </w:tcPr>
          <w:p>
            <w:pPr>
              <w:pStyle w:val="Tabellinnehll"/>
              <w:spacing w:before="0" w:after="170"/>
              <w:rPr>
                <w:sz w:val="20"/>
                <w:szCs w:val="20"/>
              </w:rPr>
            </w:pPr>
            <w:r>
              <w:rPr>
                <w:sz w:val="16"/>
                <w:szCs w:val="16"/>
              </w:rPr>
              <w:t>Kolhydrater</w:t>
            </w:r>
          </w:p>
        </w:tc>
        <w:tc>
          <w:tcPr>
            <w:tcW w:w="1666"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0 g</w:t>
            </w:r>
          </w:p>
        </w:tc>
        <w:tc>
          <w:tcPr>
            <w:tcW w:w="1667"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0 g</w:t>
            </w:r>
          </w:p>
        </w:tc>
      </w:tr>
      <w:tr>
        <w:trPr>
          <w:trHeight w:val="397" w:hRule="exact"/>
        </w:trPr>
        <w:tc>
          <w:tcPr>
            <w:tcW w:w="2502" w:type="dxa"/>
            <w:tcBorders>
              <w:left w:val="single" w:sz="2" w:space="0" w:color="000000"/>
              <w:bottom w:val="single" w:sz="2" w:space="0" w:color="000000"/>
            </w:tcBorders>
            <w:shd w:fill="auto" w:val="clear"/>
          </w:tcPr>
          <w:p>
            <w:pPr>
              <w:pStyle w:val="Tabellinnehll"/>
              <w:spacing w:before="0" w:after="170"/>
              <w:rPr>
                <w:sz w:val="20"/>
                <w:szCs w:val="20"/>
              </w:rPr>
            </w:pPr>
            <w:r>
              <w:rPr>
                <w:sz w:val="16"/>
                <w:szCs w:val="16"/>
              </w:rPr>
              <w:t>Fett</w:t>
            </w:r>
          </w:p>
        </w:tc>
        <w:tc>
          <w:tcPr>
            <w:tcW w:w="1666" w:type="dxa"/>
            <w:tcBorders>
              <w:left w:val="single" w:sz="2" w:space="0" w:color="000000"/>
              <w:bottom w:val="single" w:sz="2" w:space="0" w:color="000000"/>
            </w:tcBorders>
            <w:shd w:fill="auto" w:val="clear"/>
          </w:tcPr>
          <w:p>
            <w:pPr>
              <w:pStyle w:val="Tabellinnehll"/>
              <w:spacing w:before="0" w:after="170"/>
              <w:rPr>
                <w:sz w:val="20"/>
                <w:szCs w:val="20"/>
              </w:rPr>
            </w:pPr>
            <w:r>
              <w:rPr>
                <w:sz w:val="16"/>
                <w:szCs w:val="16"/>
              </w:rPr>
              <w:t>0 g</w:t>
            </w:r>
          </w:p>
        </w:tc>
        <w:tc>
          <w:tcPr>
            <w:tcW w:w="1667"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0 g</w:t>
            </w:r>
          </w:p>
        </w:tc>
      </w:tr>
      <w:tr>
        <w:trPr>
          <w:trHeight w:val="397" w:hRule="exact"/>
        </w:trPr>
        <w:tc>
          <w:tcPr>
            <w:tcW w:w="2502"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Salt</w:t>
            </w:r>
          </w:p>
        </w:tc>
        <w:tc>
          <w:tcPr>
            <w:tcW w:w="1666"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g</w:t>
            </w:r>
          </w:p>
        </w:tc>
        <w:tc>
          <w:tcPr>
            <w:tcW w:w="1667"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  g</w:t>
            </w:r>
          </w:p>
        </w:tc>
      </w:tr>
    </w:tbl>
    <w:p>
      <w:pPr>
        <w:pStyle w:val="Normal"/>
        <w:rPr/>
      </w:pPr>
      <w:r>
        <w:rPr>
          <w:rFonts w:cs="Times;Times New Roman" w:ascii="Times;Times New Roman" w:hAnsi="Times;Times New Roman"/>
          <w:b/>
          <w:bCs/>
          <w:caps/>
          <w:sz w:val="16"/>
          <w:szCs w:val="16"/>
          <w:lang w:val="sv-SE"/>
        </w:rPr>
        <w:t>INNEHÅLLSFÖRTECKNING:</w:t>
      </w:r>
    </w:p>
    <w:tbl>
      <w:tblPr>
        <w:tblW w:w="3510" w:type="dxa"/>
        <w:jc w:val="left"/>
        <w:tblInd w:w="-30" w:type="dxa"/>
        <w:tblCellMar>
          <w:top w:w="55" w:type="dxa"/>
          <w:left w:w="55" w:type="dxa"/>
          <w:bottom w:w="55" w:type="dxa"/>
          <w:right w:w="55" w:type="dxa"/>
        </w:tblCellMar>
      </w:tblPr>
      <w:tblGrid>
        <w:gridCol w:w="2160"/>
        <w:gridCol w:w="1349"/>
      </w:tblGrid>
      <w:tr>
        <w:trPr>
          <w:trHeight w:val="397" w:hRule="exact"/>
        </w:trPr>
        <w:tc>
          <w:tcPr>
            <w:tcW w:w="2160"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16"/>
                <w:szCs w:val="16"/>
              </w:rPr>
              <w:t xml:space="preserve">Innehåll per </w:t>
            </w:r>
          </w:p>
        </w:tc>
        <w:tc>
          <w:tcPr>
            <w:tcW w:w="1349"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pPr>
            <w:r>
              <w:rPr>
                <w:b/>
                <w:bCs/>
                <w:sz w:val="16"/>
                <w:szCs w:val="16"/>
              </w:rPr>
              <w:t>10g (servering)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Arginin-AKG</w:t>
            </w:r>
          </w:p>
        </w:tc>
        <w:tc>
          <w:tcPr>
            <w:tcW w:w="1349"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3000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D-asparaginsyra (DAA)</w:t>
            </w:r>
          </w:p>
        </w:tc>
        <w:tc>
          <w:tcPr>
            <w:tcW w:w="1349"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3000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 xml:space="preserve">Taurin </w:t>
            </w:r>
          </w:p>
        </w:tc>
        <w:tc>
          <w:tcPr>
            <w:tcW w:w="1349"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1000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Acetyl-L-Karnitin</w:t>
            </w:r>
          </w:p>
        </w:tc>
        <w:tc>
          <w:tcPr>
            <w:tcW w:w="134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500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Tribulus Terrestris</w:t>
            </w:r>
          </w:p>
        </w:tc>
        <w:tc>
          <w:tcPr>
            <w:tcW w:w="134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400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L-Teanin</w:t>
            </w:r>
          </w:p>
        </w:tc>
        <w:tc>
          <w:tcPr>
            <w:tcW w:w="134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200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Champinjonextrakt</w:t>
            </w:r>
          </w:p>
        </w:tc>
        <w:tc>
          <w:tcPr>
            <w:tcW w:w="134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200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Urtica Dioca-extrakt</w:t>
            </w:r>
          </w:p>
        </w:tc>
        <w:tc>
          <w:tcPr>
            <w:tcW w:w="134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200 mg</w:t>
            </w:r>
          </w:p>
        </w:tc>
      </w:tr>
      <w:tr>
        <w:trPr>
          <w:trHeight w:val="397" w:hRule="exact"/>
        </w:trPr>
        <w:tc>
          <w:tcPr>
            <w:tcW w:w="2160" w:type="dxa"/>
            <w:tcBorders>
              <w:left w:val="single" w:sz="2" w:space="0" w:color="000000"/>
              <w:bottom w:val="single" w:sz="2" w:space="0" w:color="000000"/>
            </w:tcBorders>
            <w:shd w:fill="auto" w:val="clear"/>
          </w:tcPr>
          <w:p>
            <w:pPr>
              <w:pStyle w:val="Brdtext"/>
              <w:spacing w:before="0" w:after="170"/>
              <w:rPr>
                <w:b w:val="false"/>
                <w:b w:val="false"/>
                <w:bCs w:val="false"/>
                <w:sz w:val="16"/>
                <w:szCs w:val="16"/>
              </w:rPr>
            </w:pPr>
            <w:r>
              <w:rPr>
                <w:b w:val="false"/>
                <w:bCs w:val="false"/>
                <w:sz w:val="16"/>
                <w:szCs w:val="16"/>
              </w:rPr>
              <w:t>Zinkglukonat</w:t>
            </w:r>
          </w:p>
        </w:tc>
        <w:tc>
          <w:tcPr>
            <w:tcW w:w="134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10 mg    (100%)*</w:t>
            </w:r>
          </w:p>
        </w:tc>
      </w:tr>
    </w:tbl>
    <w:p>
      <w:pPr>
        <w:pStyle w:val="Normal"/>
        <w:rPr/>
      </w:pPr>
      <w:r>
        <w:rPr>
          <w:rStyle w:val="A5"/>
          <w:rFonts w:ascii="Arial" w:hAnsi="Arial"/>
          <w:b w:val="false"/>
          <w:bCs w:val="false"/>
          <w:i/>
          <w:iCs/>
        </w:rPr>
        <w:t>* % RDI</w:t>
      </w:r>
    </w:p>
    <w:p>
      <w:pPr>
        <w:pStyle w:val="Rubrik4press"/>
        <w:rPr>
          <w:rFonts w:ascii="Arial" w:hAnsi="Arial"/>
          <w:sz w:val="18"/>
          <w:szCs w:val="18"/>
        </w:rPr>
      </w:pPr>
      <w:r>
        <w:rPr>
          <w:sz w:val="18"/>
          <w:szCs w:val="18"/>
        </w:rPr>
        <w:br/>
        <w:t>ÖVRIGT</w:t>
      </w:r>
    </w:p>
    <w:p>
      <w:pPr>
        <w:pStyle w:val="Brdtextpress"/>
        <w:tabs>
          <w:tab w:val="clear" w:pos="1304"/>
          <w:tab w:val="left" w:pos="1005" w:leader="none"/>
        </w:tabs>
        <w:rPr/>
      </w:pPr>
      <w:r>
        <w:rPr>
          <w:rStyle w:val="A5"/>
          <w:rFonts w:cs="Times New Roman"/>
          <w:b w:val="false"/>
          <w:bCs w:val="false"/>
          <w:sz w:val="18"/>
          <w:szCs w:val="18"/>
          <w:lang w:val="sv-SE"/>
        </w:rPr>
        <w:t xml:space="preserve">Innehåller sötningsmedel. </w:t>
      </w:r>
      <w:r>
        <w:rPr>
          <w:rStyle w:val="A5"/>
          <w:rFonts w:cs="Times New Roman"/>
          <w:b w:val="false"/>
          <w:bCs w:val="false"/>
          <w:color w:val="auto"/>
          <w:sz w:val="18"/>
          <w:szCs w:val="18"/>
          <w:lang w:val="sv-SE"/>
        </w:rPr>
        <w:t xml:space="preserve"> Rekommenderas ej för barn och gravida.</w:t>
      </w:r>
    </w:p>
    <w:p>
      <w:pPr>
        <w:pStyle w:val="Brdtextpress"/>
        <w:tabs>
          <w:tab w:val="clear" w:pos="1304"/>
          <w:tab w:val="left" w:pos="1005" w:leader="none"/>
        </w:tabs>
        <w:rPr/>
      </w:pPr>
      <w:r>
        <w:rPr>
          <w:rStyle w:val="Starktbetonad"/>
          <w:rFonts w:cs="Times New Roman"/>
          <w:b/>
          <w:bCs/>
          <w:color w:val="auto"/>
          <w:sz w:val="18"/>
          <w:szCs w:val="18"/>
          <w:lang w:val="sv-SE"/>
        </w:rPr>
        <w:br/>
        <w:t>ALLERGENER</w:t>
      </w:r>
      <w:r>
        <w:rPr>
          <w:rStyle w:val="Starktbetonad"/>
          <w:rFonts w:cs="Times New Roman"/>
          <w:b w:val="false"/>
          <w:bCs w:val="false"/>
          <w:color w:val="auto"/>
          <w:sz w:val="18"/>
          <w:szCs w:val="18"/>
          <w:lang w:val="sv-SE"/>
        </w:rPr>
        <w:br/>
      </w:r>
      <w:r>
        <w:rPr>
          <w:rStyle w:val="Starktbetonad"/>
          <w:rFonts w:cs="Times New Roman"/>
          <w:b w:val="false"/>
          <w:bCs w:val="false"/>
          <w:i w:val="false"/>
          <w:caps w:val="false"/>
          <w:smallCaps w:val="false"/>
          <w:color w:val="auto"/>
          <w:spacing w:val="0"/>
          <w:sz w:val="18"/>
          <w:szCs w:val="18"/>
          <w:lang w:val="sv-SE"/>
        </w:rPr>
        <w:t xml:space="preserve">Använd ej om du är allergisk mot någon av ingående ingredienser. </w:t>
      </w:r>
    </w:p>
    <w:p>
      <w:pPr>
        <w:pStyle w:val="Rubrik4press"/>
        <w:rPr>
          <w:rFonts w:ascii="Arial" w:hAnsi="Arial"/>
          <w:sz w:val="18"/>
          <w:szCs w:val="18"/>
        </w:rPr>
      </w:pPr>
      <w:r>
        <w:rPr>
          <w:sz w:val="18"/>
          <w:szCs w:val="18"/>
        </w:rPr>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r>
        <w:rPr>
          <w:rStyle w:val="Starktbetonad"/>
          <w:b w:val="false"/>
          <w:bCs w:val="false"/>
          <w:color w:val="auto"/>
          <w:sz w:val="18"/>
          <w:szCs w:val="18"/>
        </w:rPr>
        <w:t xml:space="preserve"> </w:t>
      </w:r>
    </w:p>
    <w:p>
      <w:pPr>
        <w:pStyle w:val="Rubrik4press"/>
        <w:rPr/>
      </w:pPr>
      <w:r>
        <w:rPr>
          <w:rStyle w:val="Starktbetonad"/>
          <w:sz w:val="18"/>
          <w:szCs w:val="18"/>
        </w:rPr>
        <w:t xml:space="preserve">KOSTTILLSKOTT </w:t>
      </w:r>
    </w:p>
    <w:p>
      <w:pPr>
        <w:pStyle w:val="Brdtext"/>
        <w:rPr>
          <w:rFonts w:ascii="Arial" w:hAnsi="Arial"/>
          <w:sz w:val="18"/>
          <w:szCs w:val="18"/>
        </w:rPr>
      </w:pPr>
      <w:r>
        <w:rPr>
          <w:rFonts w:ascii="Arial" w:hAnsi="Arial"/>
          <w:b w:val="false"/>
          <w:bCs w:val="false"/>
          <w:sz w:val="18"/>
          <w:szCs w:val="18"/>
        </w:rPr>
        <w:t xml:space="preserve">Detta är ett kosttillskott och bör ej användas som ett alternativ till en varierad kost. Den rekommenderade dagliga dosen bör ej överskridas. Förvaras oåtkomlig för små barn. Tänk på vikten av en mångsidig och balanserad kost och en hälsosam livsstil. Produkten är avsedd för friska personer över 18 år. Om Du är gravid, ammande, lider av sjukdom eller behandlas med läkemedel bör Du kontakta läkare innan Du använder produkten. </w:t>
      </w:r>
      <w:r>
        <w:rPr>
          <w:rFonts w:ascii="Arial" w:hAnsi="Arial"/>
          <w:b/>
          <w:bCs/>
          <w:sz w:val="18"/>
          <w:szCs w:val="18"/>
        </w:rPr>
        <w:t>Produkten innehåller sötningsmedel.</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sz w:val="24"/>
          <w:szCs w:val="24"/>
        </w:rPr>
        <w:br/>
        <w:br/>
      </w:r>
    </w:p>
    <w:p>
      <w:pPr>
        <w:pStyle w:val="Tabellfrteckningrubrik"/>
        <w:spacing w:before="240" w:after="120"/>
        <w:rPr>
          <w:sz w:val="16"/>
          <w:szCs w:val="16"/>
        </w:rPr>
      </w:pPr>
      <w:r>
        <w:rPr>
          <w:sz w:val="16"/>
          <w:szCs w:val="16"/>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Lato">
    <w:altName w:val="sans-serif"/>
    <w:charset w:val="00"/>
    <w:family w:val="roman"/>
    <w:pitch w:val="variable"/>
  </w:font>
  <w:font w:name="Times">
    <w:altName w:val="Times New Roman"/>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w:t>
    </w:r>
    <w:r>
      <w:rPr/>
      <w:t>9</w:t>
    </w:r>
    <w:r>
      <w:rPr/>
      <w:t>-</w:t>
    </w:r>
    <w:r>
      <w:rPr/>
      <w:t>14</w:t>
    </w:r>
  </w:p>
  <w:p>
    <w:pPr>
      <w:pStyle w:val="Sidhuvud"/>
      <w:rPr/>
    </w:pPr>
    <w:r>
      <w:rPr/>
      <w:tab/>
      <w:tab/>
      <w:t>Produktblad: T-1000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sz w:val="16"/>
      <w:szCs w:val="16"/>
    </w:rPr>
  </w:style>
  <w:style w:type="character" w:styleId="Betonad">
    <w:name w:val="Betonad"/>
    <w:qFormat/>
    <w:rPr>
      <w:i/>
      <w:iCs/>
    </w:rPr>
  </w:style>
  <w:style w:type="character" w:styleId="ListLabel33">
    <w:name w:val="ListLabel 33"/>
    <w:qFormat/>
    <w:rPr>
      <w:sz w:val="16"/>
      <w:szCs w:val="16"/>
    </w:rPr>
  </w:style>
  <w:style w:type="character" w:styleId="ListLabel34">
    <w:name w:val="ListLabel 34"/>
    <w:qFormat/>
    <w:rPr>
      <w:sz w:val="16"/>
      <w:szCs w:val="16"/>
    </w:rPr>
  </w:style>
  <w:style w:type="character" w:styleId="ListLabel35">
    <w:name w:val="ListLabel 35"/>
    <w:qFormat/>
    <w:rPr>
      <w:sz w:val="16"/>
      <w:szCs w:val="16"/>
    </w:rPr>
  </w:style>
  <w:style w:type="character" w:styleId="Numreringstecken">
    <w:name w:val="Numreringstecken"/>
    <w:qFormat/>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sz w:val="16"/>
      <w:szCs w:val="16"/>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sz w:val="16"/>
      <w:szCs w:val="16"/>
    </w:rPr>
  </w:style>
  <w:style w:type="character" w:styleId="ListLabel56">
    <w:name w:val="ListLabel 56"/>
    <w:qFormat/>
    <w:rPr>
      <w:sz w:val="16"/>
      <w:szCs w:val="16"/>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Application>LibreOffice/6.2.5.2$Windows_X86_64 LibreOffice_project/1ec314fa52f458adc18c4f025c545a4e8b22c159</Application>
  <Pages>2</Pages>
  <Words>319</Words>
  <Characters>1903</Characters>
  <CharactersWithSpaces>2229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2022-09-26T15:37:27Z</cp:lastPrinted>
  <dcterms:modified xsi:type="dcterms:W3CDTF">2022-09-26T15:37:51Z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