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arktbetonad"/>
          <w:b/>
        </w:rPr>
        <w:t xml:space="preserve">Lean Extreme, </w:t>
      </w:r>
      <w:r>
        <w:rPr>
          <w:rStyle w:val="Starktbetonad"/>
          <w:b w:val="false"/>
          <w:bCs w:val="false"/>
          <w:i w:val="false"/>
          <w:iCs w:val="false"/>
        </w:rPr>
        <w:t>120 kapslar</w:t>
      </w:r>
    </w:p>
    <w:p>
      <w:pPr>
        <w:pStyle w:val="Rubrik2press"/>
        <w:jc w:val="left"/>
        <w:rPr/>
      </w:pPr>
      <w:r>
        <w:rPr>
          <w:rStyle w:val="Starktbetonad"/>
          <w:b/>
          <w:sz w:val="20"/>
          <w:szCs w:val="20"/>
        </w:rPr>
        <w:t xml:space="preserve">Art nr. </w:t>
      </w:r>
      <w:r>
        <w:rPr>
          <w:rStyle w:val="Starktbetonad"/>
          <w:b w:val="false"/>
          <w:bCs w:val="false"/>
          <w:sz w:val="20"/>
          <w:szCs w:val="20"/>
        </w:rPr>
        <w:t>167</w:t>
      </w:r>
    </w:p>
    <w:p>
      <w:pPr>
        <w:pStyle w:val="Rubrik2press"/>
        <w:jc w:val="left"/>
        <w:rPr>
          <w:rStyle w:val="Starktbetonad"/>
          <w:rFonts w:ascii="Arial" w:hAnsi="Arial"/>
          <w:b/>
          <w:i w:val="false"/>
          <w:i w:val="false"/>
          <w:caps w:val="false"/>
          <w:smallCaps w:val="false"/>
          <w:color w:val="555555"/>
          <w:spacing w:val="0"/>
          <w:sz w:val="18"/>
          <w:szCs w:val="18"/>
        </w:rPr>
      </w:pPr>
      <w:r>
        <w:rPr>
          <w:b/>
          <w:i w:val="false"/>
          <w:caps w:val="false"/>
          <w:smallCaps w:val="false"/>
          <w:color w:val="555555"/>
          <w:spacing w:val="0"/>
          <w:sz w:val="18"/>
          <w:szCs w:val="18"/>
        </w:rPr>
      </w:r>
    </w:p>
    <w:p>
      <w:pPr>
        <w:pStyle w:val="Rubrik3"/>
        <w:numPr>
          <w:ilvl w:val="2"/>
          <w:numId w:val="2"/>
        </w:numPr>
        <w:ind w:left="0" w:right="0" w:hanging="0"/>
        <w:rPr>
          <w:rStyle w:val="Betonad"/>
          <w:rFonts w:ascii="Lato;sans-serif" w:hAnsi="Lato;sans-serif"/>
          <w:b/>
          <w:bCs/>
          <w:i w:val="false"/>
          <w:i w:val="false"/>
          <w:caps w:val="false"/>
          <w:smallCaps w:val="false"/>
          <w:color w:val="555555"/>
          <w:spacing w:val="0"/>
          <w:sz w:val="21"/>
          <w:szCs w:val="21"/>
        </w:rPr>
      </w:pPr>
      <w:r>
        <w:rPr>
          <w:rFonts w:ascii="Lato;sans-serif" w:hAnsi="Lato;sans-serif"/>
          <w:b/>
          <w:bCs/>
          <w:i w:val="false"/>
          <w:caps w:val="false"/>
          <w:smallCaps w:val="false"/>
          <w:color w:val="555555"/>
          <w:spacing w:val="0"/>
          <w:sz w:val="21"/>
          <w:szCs w:val="21"/>
        </w:rPr>
      </w:r>
    </w:p>
    <w:p>
      <w:pPr>
        <w:pStyle w:val="Brdtext"/>
        <w:rPr/>
      </w:pPr>
      <w:r>
        <w:rPr>
          <w:rStyle w:val="Starktbetonad"/>
          <w:rFonts w:ascii="Arial" w:hAnsi="Arial"/>
          <w:sz w:val="20"/>
          <w:szCs w:val="20"/>
        </w:rPr>
        <w:t>Lean Extreme är ett kosttillskott i kapselform baserat på åtta stycken olika aktiva ingredienser med unika egenskaper, som samverkar för en maximal effekt.</w:t>
      </w:r>
    </w:p>
    <w:p>
      <w:pPr>
        <w:pStyle w:val="Brdtext"/>
        <w:rPr>
          <w:rFonts w:ascii="Arial" w:hAnsi="Arial"/>
          <w:sz w:val="20"/>
          <w:szCs w:val="20"/>
        </w:rPr>
      </w:pPr>
      <w:r>
        <w:rPr>
          <w:rFonts w:ascii="Arial" w:hAnsi="Arial"/>
          <w:sz w:val="20"/>
          <w:szCs w:val="20"/>
        </w:rPr>
        <w:t>Lean Extreme tillhör produktkategorin fettförbrännare och används med fördel under detoxkurer, viktreducering och under olika dieter.</w:t>
      </w:r>
    </w:p>
    <w:p>
      <w:pPr>
        <w:pStyle w:val="Brdtext"/>
        <w:numPr>
          <w:ilvl w:val="0"/>
          <w:numId w:val="3"/>
        </w:numPr>
        <w:rPr>
          <w:rFonts w:ascii="Arial" w:hAnsi="Arial"/>
          <w:sz w:val="20"/>
          <w:szCs w:val="20"/>
        </w:rPr>
      </w:pPr>
      <w:r>
        <w:rPr>
          <w:rFonts w:ascii="Arial" w:hAnsi="Arial"/>
          <w:sz w:val="20"/>
          <w:szCs w:val="20"/>
        </w:rPr>
        <w:t>Hela 300mg koffein på en dygnsdos (2 kapslar). Koffein bidrar till ökad uppmärksamhet, koncentration och fokus vid intag av 3mg/kg kroppsvikt</w:t>
      </w:r>
    </w:p>
    <w:p>
      <w:pPr>
        <w:pStyle w:val="Brdtext"/>
        <w:numPr>
          <w:ilvl w:val="0"/>
          <w:numId w:val="3"/>
        </w:numPr>
        <w:rPr>
          <w:rFonts w:ascii="Arial" w:hAnsi="Arial"/>
          <w:sz w:val="20"/>
          <w:szCs w:val="20"/>
        </w:rPr>
      </w:pPr>
      <w:r>
        <w:rPr>
          <w:rFonts w:ascii="Arial" w:hAnsi="Arial"/>
          <w:sz w:val="20"/>
          <w:szCs w:val="20"/>
        </w:rPr>
        <w:t>En burk räcker 2 månader vid full doseringar</w:t>
      </w:r>
    </w:p>
    <w:p>
      <w:pPr>
        <w:pStyle w:val="Brdtext"/>
        <w:numPr>
          <w:ilvl w:val="0"/>
          <w:numId w:val="3"/>
        </w:numPr>
        <w:rPr>
          <w:rFonts w:ascii="Arial" w:hAnsi="Arial"/>
          <w:sz w:val="20"/>
          <w:szCs w:val="20"/>
        </w:rPr>
      </w:pPr>
      <w:r>
        <w:rPr>
          <w:rFonts w:ascii="Arial" w:hAnsi="Arial"/>
          <w:sz w:val="20"/>
          <w:szCs w:val="20"/>
        </w:rPr>
        <w:t>Välkända ingredienser i höga doser</w:t>
      </w:r>
    </w:p>
    <w:p>
      <w:pPr>
        <w:pStyle w:val="Tabellfrteckningrubrik"/>
        <w:rPr>
          <w:rStyle w:val="Starktbetonad"/>
          <w:sz w:val="20"/>
          <w:szCs w:val="20"/>
        </w:rPr>
      </w:pPr>
      <w:r>
        <w:rPr>
          <w:sz w:val="20"/>
          <w:szCs w:val="20"/>
        </w:rPr>
      </w:r>
    </w:p>
    <w:p>
      <w:pPr>
        <w:pStyle w:val="Tabellfrteckningrubrik"/>
        <w:rPr>
          <w:rStyle w:val="Starktbetonad"/>
          <w:rFonts w:ascii="Arial" w:hAnsi="Arial"/>
          <w:b/>
          <w:bCs/>
          <w:i w:val="false"/>
          <w:i w:val="false"/>
          <w:caps w:val="false"/>
          <w:smallCaps w:val="false"/>
          <w:color w:val="auto"/>
          <w:spacing w:val="0"/>
          <w:sz w:val="20"/>
          <w:szCs w:val="20"/>
        </w:rPr>
      </w:pPr>
      <w:r>
        <w:rPr>
          <w:rFonts w:ascii="Arial" w:hAnsi="Arial"/>
          <w:b/>
          <w:bCs/>
          <w:i w:val="false"/>
          <w:caps w:val="false"/>
          <w:smallCaps w:val="false"/>
          <w:color w:val="auto"/>
          <w:spacing w:val="0"/>
          <w:sz w:val="20"/>
          <w:szCs w:val="20"/>
        </w:rPr>
      </w:r>
    </w:p>
    <w:p>
      <w:pPr>
        <w:pStyle w:val="Brdtextpress"/>
        <w:rPr>
          <w:sz w:val="20"/>
          <w:szCs w:val="20"/>
        </w:rPr>
      </w:pPr>
      <w:r>
        <w:rPr>
          <w:b/>
          <w:bCs/>
          <w:sz w:val="20"/>
          <w:szCs w:val="20"/>
        </w:rPr>
        <w:t>NETTOVIKT</w:t>
        <w:br/>
      </w:r>
      <w:r>
        <w:rPr>
          <w:b w:val="false"/>
          <w:bCs w:val="false"/>
          <w:sz w:val="20"/>
          <w:szCs w:val="20"/>
        </w:rPr>
        <w:t>120 kapslar</w:t>
      </w:r>
      <w:r>
        <w:rPr>
          <w:sz w:val="20"/>
          <w:szCs w:val="20"/>
        </w:rPr>
        <w:br/>
      </w:r>
      <w:r>
        <w:rPr>
          <w:b/>
          <w:bCs/>
          <w:sz w:val="20"/>
          <w:szCs w:val="20"/>
        </w:rPr>
        <w:br/>
        <w:t>DOSERINGSSTORLEK</w:t>
        <w:br/>
      </w:r>
      <w:r>
        <w:rPr>
          <w:b w:val="false"/>
          <w:bCs w:val="false"/>
          <w:sz w:val="20"/>
          <w:szCs w:val="20"/>
        </w:rPr>
        <w:t>1 – 2 kapslar</w:t>
      </w:r>
    </w:p>
    <w:p>
      <w:pPr>
        <w:pStyle w:val="Brdtextpress"/>
        <w:rPr>
          <w:sz w:val="20"/>
          <w:szCs w:val="20"/>
        </w:rPr>
      </w:pPr>
      <w:r>
        <w:rPr>
          <w:b/>
          <w:bCs/>
          <w:sz w:val="20"/>
          <w:szCs w:val="20"/>
        </w:rPr>
        <w:t xml:space="preserve">DOSERING </w:t>
        <w:br/>
      </w:r>
      <w:r>
        <w:rPr>
          <w:b w:val="false"/>
          <w:bCs w:val="false"/>
          <w:i w:val="false"/>
          <w:caps w:val="false"/>
          <w:smallCaps w:val="false"/>
          <w:color w:val="auto"/>
          <w:spacing w:val="0"/>
          <w:sz w:val="20"/>
          <w:szCs w:val="20"/>
        </w:rPr>
        <w:t xml:space="preserve">2 kapslar/dygn. Intas ej timmarna innan sänggående då Lean har en uppiggande verkan. </w:t>
      </w:r>
      <w:r>
        <w:rPr>
          <w:b w:val="false"/>
          <w:bCs w:val="false"/>
          <w:color w:val="auto"/>
          <w:sz w:val="20"/>
          <w:szCs w:val="20"/>
        </w:rPr>
        <w:t xml:space="preserve"> </w:t>
      </w:r>
    </w:p>
    <w:p>
      <w:pPr>
        <w:pStyle w:val="Brdtextpress"/>
        <w:rPr>
          <w:sz w:val="20"/>
          <w:szCs w:val="20"/>
        </w:rPr>
      </w:pPr>
      <w:r>
        <w:rPr>
          <w:b/>
          <w:bCs/>
          <w:sz w:val="20"/>
          <w:szCs w:val="20"/>
        </w:rPr>
        <w:br/>
        <w:t xml:space="preserve">INGREDIENSER </w:t>
      </w:r>
      <w:r>
        <w:rPr>
          <w:b w:val="false"/>
          <w:bCs/>
          <w:i w:val="false"/>
          <w:caps w:val="false"/>
          <w:smallCaps w:val="false"/>
          <w:spacing w:val="0"/>
          <w:sz w:val="20"/>
          <w:szCs w:val="20"/>
        </w:rPr>
        <w:br/>
      </w:r>
      <w:r>
        <w:rPr>
          <w:b w:val="false"/>
          <w:bCs/>
          <w:i w:val="false"/>
          <w:caps w:val="false"/>
          <w:smallCaps w:val="false"/>
          <w:color w:val="auto"/>
          <w:spacing w:val="0"/>
          <w:sz w:val="20"/>
          <w:szCs w:val="20"/>
        </w:rPr>
        <w:t>Koffein, maskrosextrakt (Taraxacum officinale), Coleus forskohlii-extrakt (standardiserat till 10% forskolin), grönt kaffe-extrakt (standardiserat till 40% polyfenoler), olivbladsextrakt, cayennepepparextrakt (Capsicum frutescens 4:1), nikotinsyra, kaliumjodid, kapselhölje (bovint gelatin</w:t>
      </w:r>
      <w:r>
        <w:rPr>
          <w:b w:val="false"/>
          <w:bCs/>
          <w:i w:val="false"/>
          <w:caps w:val="false"/>
          <w:smallCaps w:val="false"/>
          <w:color w:val="auto"/>
          <w:spacing w:val="0"/>
          <w:sz w:val="20"/>
          <w:szCs w:val="20"/>
        </w:rPr>
        <w:t>).</w:t>
      </w:r>
      <w:r>
        <w:rPr>
          <w:b w:val="false"/>
          <w:bCs/>
          <w:i w:val="false"/>
          <w:caps w:val="false"/>
          <w:smallCaps w:val="false"/>
          <w:color w:val="auto"/>
          <w:spacing w:val="0"/>
          <w:sz w:val="20"/>
          <w:szCs w:val="20"/>
        </w:rPr>
        <w:t xml:space="preserve"> </w:t>
      </w:r>
    </w:p>
    <w:p>
      <w:pPr>
        <w:pStyle w:val="Brdtextpress"/>
        <w:rPr>
          <w:rFonts w:ascii="Arial" w:hAnsi="Arial"/>
          <w:b/>
          <w:bCs/>
        </w:rPr>
      </w:pPr>
      <w:r>
        <w:rPr>
          <w:b/>
          <w:bCs/>
        </w:rPr>
      </w:r>
    </w:p>
    <w:p>
      <w:pPr>
        <w:pStyle w:val="Brdtextpress"/>
        <w:rPr>
          <w:rFonts w:ascii="Arial" w:hAnsi="Arial"/>
          <w:b/>
          <w:bCs/>
        </w:rPr>
      </w:pPr>
      <w:r>
        <w:rPr>
          <w:b/>
          <w:bCs/>
        </w:rPr>
      </w:r>
    </w:p>
    <w:p>
      <w:pPr>
        <w:pStyle w:val="Brdtextpress"/>
        <w:rPr>
          <w:rFonts w:ascii="Arial" w:hAnsi="Arial"/>
          <w:b/>
          <w:bCs/>
        </w:rPr>
      </w:pPr>
      <w:r>
        <w:rPr>
          <w:b/>
          <w:bCs/>
        </w:rPr>
      </w:r>
    </w:p>
    <w:p>
      <w:pPr>
        <w:pStyle w:val="Brdtextpress"/>
        <w:rPr>
          <w:rFonts w:ascii="Arial" w:hAnsi="Arial"/>
          <w:b/>
          <w:bCs/>
        </w:rPr>
      </w:pPr>
      <w:r>
        <w:rPr>
          <w:b/>
          <w:bCs/>
        </w:rPr>
      </w:r>
    </w:p>
    <w:p>
      <w:pPr>
        <w:pStyle w:val="Brdtextpress"/>
        <w:rPr>
          <w:rFonts w:ascii="Arial" w:hAnsi="Arial"/>
          <w:b/>
          <w:bCs/>
        </w:rPr>
      </w:pPr>
      <w:r>
        <w:rPr>
          <w:b/>
          <w:bCs/>
        </w:rPr>
      </w:r>
    </w:p>
    <w:p>
      <w:pPr>
        <w:pStyle w:val="Brdtextpress"/>
        <w:rPr>
          <w:b/>
          <w:bCs/>
          <w:sz w:val="20"/>
          <w:szCs w:val="20"/>
        </w:rPr>
      </w:pPr>
      <w:r>
        <w:rPr>
          <w:b/>
          <w:bCs/>
          <w:sz w:val="20"/>
          <w:szCs w:val="20"/>
        </w:rPr>
      </w:r>
    </w:p>
    <w:p>
      <w:pPr>
        <w:pStyle w:val="Brdtextpress"/>
        <w:rPr>
          <w:b/>
          <w:bCs/>
          <w:sz w:val="20"/>
          <w:szCs w:val="20"/>
        </w:rPr>
      </w:pPr>
      <w:r>
        <w:rPr>
          <w:b/>
          <w:bCs/>
          <w:sz w:val="20"/>
          <w:szCs w:val="20"/>
        </w:rPr>
      </w:r>
    </w:p>
    <w:p>
      <w:pPr>
        <w:pStyle w:val="Brdtextpress"/>
        <w:rPr>
          <w:b/>
          <w:bCs/>
          <w:sz w:val="20"/>
          <w:szCs w:val="20"/>
        </w:rPr>
      </w:pPr>
      <w:r>
        <w:rPr>
          <w:b/>
          <w:bCs/>
          <w:sz w:val="20"/>
          <w:szCs w:val="20"/>
        </w:rPr>
      </w:r>
    </w:p>
    <w:p>
      <w:pPr>
        <w:pStyle w:val="Brdtextpress"/>
        <w:rPr/>
      </w:pPr>
      <w:r>
        <w:rPr>
          <w:b/>
          <w:bCs/>
          <w:sz w:val="20"/>
          <w:szCs w:val="20"/>
        </w:rPr>
        <w:br/>
        <w:t>INNEHÅLL</w:t>
      </w:r>
    </w:p>
    <w:tbl>
      <w:tblPr>
        <w:tblW w:w="7486" w:type="dxa"/>
        <w:jc w:val="left"/>
        <w:tblInd w:w="0" w:type="dxa"/>
        <w:tblLayout w:type="fixed"/>
        <w:tblCellMar>
          <w:top w:w="0" w:type="dxa"/>
          <w:left w:w="0" w:type="dxa"/>
          <w:bottom w:w="0" w:type="dxa"/>
          <w:right w:w="0" w:type="dxa"/>
        </w:tblCellMar>
      </w:tblPr>
      <w:tblGrid>
        <w:gridCol w:w="4245"/>
        <w:gridCol w:w="1510"/>
        <w:gridCol w:w="1731"/>
      </w:tblGrid>
      <w:tr>
        <w:trPr>
          <w:tblHeader w:val="true"/>
        </w:trPr>
        <w:tc>
          <w:tcPr>
            <w:tcW w:w="4245"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INNEHÅLL PER</w:t>
            </w:r>
          </w:p>
        </w:tc>
        <w:tc>
          <w:tcPr>
            <w:tcW w:w="1510"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1 KAPS</w:t>
            </w:r>
          </w:p>
        </w:tc>
        <w:tc>
          <w:tcPr>
            <w:tcW w:w="1731"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2 KAPS (DAGSDOS)</w:t>
            </w:r>
          </w:p>
        </w:tc>
      </w:tr>
      <w:tr>
        <w:trPr>
          <w:trHeight w:val="283" w:hRule="atLeast"/>
        </w:trPr>
        <w:tc>
          <w:tcPr>
            <w:tcW w:w="4245"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Koffein</w:t>
            </w:r>
          </w:p>
        </w:tc>
        <w:tc>
          <w:tcPr>
            <w:tcW w:w="1510"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150 mg</w:t>
            </w:r>
          </w:p>
        </w:tc>
        <w:tc>
          <w:tcPr>
            <w:tcW w:w="1731"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300*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Maskrosextrakt</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150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300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Coleus Forskohlii-extrakt</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125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250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varav forskolin</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12,5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25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Grönt kaffe-extrakt</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125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250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varav polyfenoler</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119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238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varav polyfenoler</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50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Olivbladsextkrakt</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200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Cayennefruktextrakt (4:1)</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50 mg</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Nikotinsyra (Niacin)</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 mg (31%**)</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 mg (62%**)</w:t>
            </w:r>
          </w:p>
        </w:tc>
      </w:tr>
      <w:tr>
        <w:trPr>
          <w:trHeight w:val="283" w:hRule="atLeast"/>
        </w:trPr>
        <w:tc>
          <w:tcPr>
            <w:tcW w:w="4245"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Jod</w:t>
            </w:r>
          </w:p>
        </w:tc>
        <w:tc>
          <w:tcPr>
            <w:tcW w:w="151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75 μg (50%**)</w:t>
            </w:r>
          </w:p>
        </w:tc>
        <w:tc>
          <w:tcPr>
            <w:tcW w:w="1731"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150 μg (100%**)</w:t>
            </w:r>
          </w:p>
        </w:tc>
      </w:tr>
    </w:tbl>
    <w:p>
      <w:pPr>
        <w:pStyle w:val="Tabellinnehll"/>
        <w:spacing w:lineRule="auto" w:line="312"/>
        <w:jc w:val="left"/>
        <w:rPr>
          <w:color w:val="auto"/>
        </w:rPr>
      </w:pPr>
      <w:r>
        <w:rPr>
          <w:i/>
          <w:iCs/>
          <w:color w:val="auto"/>
          <w:sz w:val="16"/>
          <w:szCs w:val="16"/>
        </w:rPr>
        <w:t xml:space="preserve">*hög koffeinhalt per rekommenderad dagsdos </w:t>
        <w:br/>
      </w:r>
      <w:r>
        <w:rPr>
          <w:b w:val="false"/>
          <w:i/>
          <w:iCs/>
          <w:caps w:val="false"/>
          <w:smallCaps w:val="false"/>
          <w:color w:val="auto"/>
          <w:spacing w:val="0"/>
          <w:sz w:val="16"/>
          <w:szCs w:val="16"/>
        </w:rPr>
        <w:t>**av dagligt referensintag</w:t>
      </w:r>
      <w:r>
        <w:rPr>
          <w:b/>
          <w:bCs/>
          <w:i/>
          <w:iCs/>
          <w:caps w:val="false"/>
          <w:smallCaps w:val="false"/>
          <w:color w:val="auto"/>
          <w:spacing w:val="0"/>
          <w:sz w:val="20"/>
          <w:szCs w:val="20"/>
        </w:rPr>
        <w:br/>
      </w:r>
    </w:p>
    <w:p>
      <w:pPr>
        <w:pStyle w:val="Brdtextpress"/>
        <w:rPr>
          <w:b/>
          <w:bCs/>
          <w:sz w:val="20"/>
          <w:szCs w:val="20"/>
        </w:rPr>
      </w:pPr>
      <w:r>
        <w:rPr>
          <w:b/>
          <w:bCs/>
          <w:sz w:val="20"/>
          <w:szCs w:val="20"/>
        </w:rPr>
      </w:r>
    </w:p>
    <w:p>
      <w:pPr>
        <w:pStyle w:val="Brdtextpress"/>
        <w:rPr>
          <w:sz w:val="20"/>
          <w:szCs w:val="20"/>
        </w:rPr>
      </w:pPr>
      <w:r>
        <w:rPr>
          <w:b/>
          <w:bCs/>
          <w:sz w:val="20"/>
          <w:szCs w:val="20"/>
        </w:rPr>
        <w:t>ÖVRIGT</w:t>
      </w:r>
      <w:r>
        <w:rPr>
          <w:sz w:val="20"/>
          <w:szCs w:val="20"/>
        </w:rPr>
        <w:br/>
      </w:r>
      <w:r>
        <w:rPr>
          <w:b/>
          <w:bCs/>
          <w:i w:val="false"/>
          <w:caps w:val="false"/>
          <w:smallCaps w:val="false"/>
          <w:color w:val="auto"/>
          <w:spacing w:val="0"/>
          <w:sz w:val="20"/>
          <w:szCs w:val="20"/>
        </w:rPr>
        <w:t>Innehåller koffein</w:t>
      </w:r>
      <w:r>
        <w:rPr>
          <w:b w:val="false"/>
          <w:i/>
          <w:iCs/>
          <w:caps w:val="false"/>
          <w:smallCaps w:val="false"/>
          <w:color w:val="auto"/>
          <w:spacing w:val="0"/>
          <w:sz w:val="20"/>
          <w:szCs w:val="20"/>
        </w:rPr>
        <w:t xml:space="preserve"> (150 mg/kapsel, 300 mg/2 kaps)</w:t>
      </w:r>
      <w:r>
        <w:rPr>
          <w:b w:val="false"/>
          <w:i w:val="false"/>
          <w:caps w:val="false"/>
          <w:smallCaps w:val="false"/>
          <w:color w:val="auto"/>
          <w:spacing w:val="0"/>
          <w:sz w:val="20"/>
          <w:szCs w:val="20"/>
        </w:rPr>
        <w:t>. Rekommenderas ej för barn och gravida,</w:t>
      </w:r>
    </w:p>
    <w:p>
      <w:pPr>
        <w:pStyle w:val="Rubrik4press"/>
        <w:rPr>
          <w:rFonts w:ascii="Arial" w:hAnsi="Arial"/>
          <w:sz w:val="20"/>
          <w:szCs w:val="20"/>
        </w:rPr>
      </w:pPr>
      <w:r>
        <w:rPr>
          <w:sz w:val="20"/>
          <w:szCs w:val="20"/>
        </w:rPr>
        <w:t>FÖRVARING</w:t>
      </w:r>
    </w:p>
    <w:p>
      <w:pPr>
        <w:pStyle w:val="Brdtextpress"/>
        <w:rPr/>
      </w:pPr>
      <w:r>
        <w:rPr>
          <w:rStyle w:val="Starktbetonad"/>
          <w:b w:val="false"/>
          <w:bCs w:val="false"/>
          <w:sz w:val="20"/>
          <w:szCs w:val="20"/>
        </w:rPr>
        <w:t>Torrt, svalt, väl förslutet och oåtkomligt för barn.</w:t>
      </w:r>
    </w:p>
    <w:p>
      <w:pPr>
        <w:pStyle w:val="Rubrik4press"/>
        <w:rPr/>
      </w:pPr>
      <w:r>
        <w:rPr>
          <w:rStyle w:val="Starktbetonad"/>
          <w:b/>
          <w:sz w:val="20"/>
          <w:szCs w:val="20"/>
        </w:rPr>
        <w:t xml:space="preserve">KOSTTILLSKOTT </w:t>
      </w:r>
    </w:p>
    <w:p>
      <w:pPr>
        <w:pStyle w:val="Brdtextpress"/>
        <w:rPr/>
      </w:pPr>
      <w:r>
        <w:rPr>
          <w:sz w:val="20"/>
          <w:szCs w:val="20"/>
        </w:rPr>
        <w:t xml:space="preserve">Detta är ett kosttillskott och bör ej användas som ett alternativ till en varierad kost. Den rekommenderade dagliga dosen bör ej överskridas. Förvaras oåtkomlig för små barn. Tänk på vikten av en mångsidig och balanserad kost och en hälsosam livsstil. Produkten är avsedd för friska personer över 18 år. Om Du är gravid, ammande, lider av sjukdom eller behandlas med läkemedel bör Du kontakta läkare innan Du använder produkten. Innehåller koffein (300 mg per servering). Rekommenderas ej för barn och gravida. </w:t>
      </w:r>
    </w:p>
    <w:p>
      <w:pPr>
        <w:pStyle w:val="Rubrik4press"/>
        <w:rPr>
          <w:sz w:val="18"/>
          <w:szCs w:val="18"/>
        </w:rPr>
      </w:pPr>
      <w:r>
        <w:rPr>
          <w:sz w:val="20"/>
          <w:szCs w:val="20"/>
        </w:rPr>
        <w:t xml:space="preserve">KVALITETSGARANTI </w:t>
      </w:r>
    </w:p>
    <w:p>
      <w:pPr>
        <w:pStyle w:val="Brdtextpress"/>
        <w:rPr>
          <w:sz w:val="18"/>
          <w:szCs w:val="18"/>
        </w:rPr>
      </w:pPr>
      <w:r>
        <w:rPr>
          <w:sz w:val="20"/>
          <w:szCs w:val="20"/>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sz w:val="16"/>
          <w:szCs w:val="16"/>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2022-07-08</w:t>
    </w:r>
  </w:p>
  <w:p>
    <w:pPr>
      <w:pStyle w:val="Sidhuvud"/>
      <w:rPr/>
    </w:pPr>
    <w:r>
      <w:rPr/>
      <w:tab/>
      <w:tab/>
      <w:t>Produktblad: Lean Extreme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character" w:styleId="Betonad">
    <w:name w:val="Emphasis"/>
    <w:qFormat/>
    <w:rPr>
      <w:i/>
      <w:iCs/>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Application>LibreOffice/7.5.1.2$Windows_X86_64 LibreOffice_project/fcbaee479e84c6cd81291587d2ee68cba099e129</Application>
  <AppVersion>15.0000</AppVersion>
  <DocSecurity>0</DocSecurity>
  <Pages>3</Pages>
  <Words>344</Words>
  <Characters>2045</Characters>
  <CharactersWithSpaces>2398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2023-05-24T11:11:49Z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