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Recovery Extreme, </w:t>
      </w:r>
      <w:r>
        <w:rPr>
          <w:rStyle w:val="Starktbetonad"/>
          <w:b w:val="false"/>
          <w:bCs w:val="false"/>
          <w:i w:val="false"/>
          <w:iCs w:val="false"/>
        </w:rPr>
        <w:t>1000g</w:t>
      </w:r>
    </w:p>
    <w:p>
      <w:pPr>
        <w:pStyle w:val="Rubrik2press"/>
        <w:jc w:val="left"/>
        <w:rPr/>
      </w:pPr>
      <w:r>
        <w:rPr>
          <w:rStyle w:val="Starktbetonad"/>
          <w:sz w:val="20"/>
          <w:szCs w:val="20"/>
        </w:rPr>
        <w:t xml:space="preserve">Art nr. </w:t>
      </w:r>
      <w:r>
        <w:rPr>
          <w:rStyle w:val="Starktbetonad"/>
          <w:b w:val="false"/>
          <w:bCs w:val="false"/>
          <w:sz w:val="20"/>
          <w:szCs w:val="20"/>
        </w:rPr>
        <w:t>308, Raspberry Candy</w:t>
      </w:r>
    </w:p>
    <w:p>
      <w:pPr>
        <w:pStyle w:val="Rubrik3"/>
        <w:numPr>
          <w:ilvl w:val="2"/>
          <w:numId w:val="2"/>
        </w:numPr>
        <w:ind w:left="0" w:right="0" w:hanging="0"/>
        <w:jc w:val="left"/>
        <w:rPr>
          <w:rStyle w:val="Starktbetonad"/>
          <w:rFonts w:ascii="Arial" w:hAnsi="Arial"/>
        </w:rPr>
      </w:pPr>
      <w:r>
        <w:rPr>
          <w:b w:val="false"/>
          <w:bCs w:val="false"/>
          <w:sz w:val="20"/>
          <w:szCs w:val="20"/>
        </w:rPr>
      </w:r>
    </w:p>
    <w:p>
      <w:pPr>
        <w:pStyle w:val="Brdtextpress"/>
        <w:rPr/>
      </w:pPr>
      <w:r>
        <w:rPr>
          <w:rStyle w:val="Starktbetonad"/>
        </w:rPr>
        <w:t>För optimal återhämtning</w:t>
      </w:r>
    </w:p>
    <w:p>
      <w:pPr>
        <w:pStyle w:val="Brdtextpress"/>
        <w:rPr/>
      </w:pPr>
      <w:r>
        <w:rPr/>
        <w:t>Recovery Extreme är en avancerad återhämtningsdryck som intas direkt efter träning för att optimera kroppens återhämtningsprocess. Detta är produkten för dig som tränar mycket och hårt och vill och få snabba resultat!</w:t>
        <w:br/>
      </w:r>
    </w:p>
    <w:p>
      <w:pPr>
        <w:pStyle w:val="Brdtextpress"/>
        <w:numPr>
          <w:ilvl w:val="0"/>
          <w:numId w:val="3"/>
        </w:numPr>
        <w:rPr>
          <w:b/>
          <w:b/>
          <w:bCs/>
        </w:rPr>
      </w:pPr>
      <w:r>
        <w:rPr>
          <w:b/>
          <w:bCs/>
        </w:rPr>
        <w:t>Högkvalitativt hydrolysat</w:t>
      </w:r>
    </w:p>
    <w:p>
      <w:pPr>
        <w:pStyle w:val="Brdtextpress"/>
        <w:numPr>
          <w:ilvl w:val="0"/>
          <w:numId w:val="3"/>
        </w:numPr>
        <w:rPr>
          <w:b/>
          <w:b/>
          <w:bCs/>
        </w:rPr>
      </w:pPr>
      <w:r>
        <w:rPr>
          <w:b/>
          <w:bCs/>
        </w:rPr>
        <w:t>Blixtsnabb återhämtning</w:t>
      </w:r>
    </w:p>
    <w:p>
      <w:pPr>
        <w:pStyle w:val="Brdtextpress"/>
        <w:numPr>
          <w:ilvl w:val="0"/>
          <w:numId w:val="3"/>
        </w:numPr>
        <w:rPr>
          <w:b/>
          <w:b/>
          <w:bCs/>
        </w:rPr>
      </w:pPr>
      <w:r>
        <w:rPr>
          <w:b/>
          <w:bCs/>
        </w:rPr>
        <w:t>Låglaktos</w:t>
        <w:br/>
      </w:r>
    </w:p>
    <w:p>
      <w:pPr>
        <w:pStyle w:val="Brdtextpress"/>
        <w:rPr/>
      </w:pPr>
      <w:r>
        <w:rPr/>
        <w:t>Efter ett hårt träningspass är dina muskler i stort behov av att snabbt fyllas upp med kolhydrater och proteiner för att återställa energin och påbörja återhämtningsprocessen . Recovery innehåller förädlade råvaror som tas upp mycket snabb i kroppen och möjliggör en optimal återhämtning.</w:t>
      </w:r>
    </w:p>
    <w:p>
      <w:pPr>
        <w:pStyle w:val="Brdtextpress"/>
        <w:rPr/>
      </w:pPr>
      <w:r>
        <w:rPr/>
        <w:t>Proteinkällan i Recovery är även den noggrant utvald och består av hydrolyserat vassleisolat som är nästintill fett &amp; laktosfritt. Fördelarna med detta protein är många , eftersom att det är hydrolysat så belastas inte mage och tarmar lika hårt som med ”vanligt” protein.</w:t>
      </w:r>
    </w:p>
    <w:p>
      <w:pPr>
        <w:pStyle w:val="Brdtextpress"/>
        <w:rPr/>
      </w:pPr>
      <w:r>
        <w:rPr/>
        <w:t>Ett hydrolyserat protein består till stor del av korta peptider och fria aminosyror och upptaget i kroppen är omedelbart. Det är viktigt att musklerna snabbt får tillgång till aminosyror för att stoppa den muskelnedbrytning som sker under ett träningspass och i stället påbörja uppbyggnaden av muskulaturen.</w:t>
      </w:r>
    </w:p>
    <w:p>
      <w:pPr>
        <w:pStyle w:val="Brdtextpress"/>
        <w:rPr/>
      </w:pPr>
      <w:r>
        <w:rPr/>
        <w:t>Kolhydratskällan består av lättsmälta glukospolymerer som snabbt, enkelt och skonsamt passerar mage och tarm och kommer snabbt muskelcellerna tillgodo.</w:t>
      </w:r>
    </w:p>
    <w:p>
      <w:pPr>
        <w:pStyle w:val="Tabellfrteckningrubrik"/>
        <w:rPr>
          <w:rStyle w:val="Starktbetonad"/>
          <w:rFonts w:ascii="Arial" w:hAnsi="Arial"/>
          <w:b/>
          <w:i w:val="false"/>
          <w:caps w:val="false"/>
          <w:smallCaps w:val="false"/>
          <w:color w:val="000000"/>
          <w:spacing w:val="0"/>
          <w:sz w:val="20"/>
          <w:szCs w:val="20"/>
        </w:rPr>
      </w:pPr>
      <w:r>
        <w:rPr>
          <w:rFonts w:ascii="Arial" w:hAnsi="Arial"/>
          <w:color w:val="000000"/>
          <w:sz w:val="20"/>
          <w:szCs w:val="20"/>
        </w:rPr>
      </w:r>
    </w:p>
    <w:p>
      <w:pPr>
        <w:pStyle w:val="Rubrik4press"/>
        <w:rPr/>
      </w:pPr>
      <w:r>
        <w:rPr/>
        <w:t>NETTOVIKT</w:t>
      </w:r>
    </w:p>
    <w:p>
      <w:pPr>
        <w:pStyle w:val="Brdtextpress"/>
        <w:rPr/>
      </w:pPr>
      <w:r>
        <w:rPr>
          <w:rFonts w:cs="Arial"/>
          <w:b w:val="false"/>
          <w:bCs w:val="false"/>
        </w:rPr>
        <w:t>1000g</w:t>
      </w:r>
      <w:r>
        <w:rPr>
          <w:rFonts w:cs="Arial"/>
          <w:b w:val="false"/>
          <w:bCs w:val="false"/>
        </w:rPr>
        <w:t xml:space="preserve"> </w:t>
      </w:r>
      <w:r>
        <w:rPr>
          <w:rFonts w:cs="Arial"/>
          <w:b w:val="false"/>
          <w:bCs w:val="false"/>
        </w:rPr>
        <w:t>(20 serveringar)</w:t>
      </w:r>
    </w:p>
    <w:p>
      <w:pPr>
        <w:pStyle w:val="Rubrik4press"/>
        <w:rPr>
          <w:rFonts w:ascii="Arial" w:hAnsi="Arial" w:cs="Arial"/>
          <w:b/>
          <w:b/>
          <w:bCs/>
        </w:rPr>
      </w:pPr>
      <w:r>
        <w:rPr>
          <w:rFonts w:cs="Arial"/>
          <w:b/>
          <w:bCs/>
        </w:rPr>
        <w:t>DOSERINGSSTORLEK</w:t>
      </w:r>
    </w:p>
    <w:p>
      <w:pPr>
        <w:pStyle w:val="Brdtextpress"/>
        <w:rPr/>
      </w:pPr>
      <w:r>
        <w:rPr>
          <w:rFonts w:cs="Arial"/>
          <w:b w:val="false"/>
          <w:bCs w:val="false"/>
        </w:rPr>
        <w:t xml:space="preserve">50g </w:t>
      </w:r>
    </w:p>
    <w:p>
      <w:pPr>
        <w:pStyle w:val="Rubrik4press"/>
        <w:rPr/>
      </w:pPr>
      <w:r>
        <w:rPr>
          <w:sz w:val="20"/>
          <w:szCs w:val="20"/>
        </w:rPr>
        <w:t>DOSERIN</w:t>
      </w:r>
      <w:r>
        <w:rPr>
          <w:sz w:val="20"/>
          <w:szCs w:val="20"/>
        </w:rPr>
        <w:t xml:space="preserve">G </w:t>
        <w:br/>
      </w:r>
      <w:r>
        <w:rPr>
          <w:rStyle w:val="A5"/>
          <w:rFonts w:cs="Arial" w:ascii="Arial" w:hAnsi="Arial"/>
          <w:b w:val="false"/>
          <w:bCs w:val="false"/>
          <w:i w:val="false"/>
          <w:iCs w:val="false"/>
          <w:caps w:val="false"/>
          <w:smallCaps w:val="false"/>
          <w:color w:val="000000"/>
          <w:spacing w:val="0"/>
          <w:sz w:val="20"/>
          <w:szCs w:val="20"/>
          <w:lang w:val="sv-SE"/>
        </w:rPr>
        <w:t>1 – 2 dl pulver (50 – 100 g) blandas i ca 3 dl valfri dryck och intages omedelbart efter träning eller vid behov.</w:t>
      </w:r>
      <w:r>
        <w:rPr>
          <w:rStyle w:val="A5"/>
          <w:rFonts w:cs="Arial" w:ascii="Arial" w:hAnsi="Arial"/>
          <w:b w:val="false"/>
          <w:bCs w:val="false"/>
          <w:i w:val="false"/>
          <w:iCs w:val="false"/>
          <w:color w:val="000000"/>
          <w:sz w:val="20"/>
          <w:szCs w:val="20"/>
          <w:lang w:val="sv-SE"/>
        </w:rPr>
        <w:t xml:space="preserve"> </w:t>
      </w:r>
    </w:p>
    <w:p>
      <w:pPr>
        <w:pStyle w:val="Normal"/>
        <w:tabs>
          <w:tab w:val="clear" w:pos="1304"/>
          <w:tab w:val="left" w:pos="1005" w:leader="none"/>
        </w:tabs>
        <w:rPr>
          <w:rFonts w:ascii="Arial" w:hAnsi="Arial"/>
          <w:b/>
          <w:b/>
          <w:bCs/>
          <w:sz w:val="20"/>
          <w:szCs w:val="20"/>
        </w:rPr>
      </w:pPr>
      <w:r>
        <w:rPr/>
      </w:r>
    </w:p>
    <w:p>
      <w:pPr>
        <w:pStyle w:val="Normal"/>
        <w:tabs>
          <w:tab w:val="clear" w:pos="1304"/>
          <w:tab w:val="left" w:pos="1005" w:leader="none"/>
        </w:tabs>
        <w:rPr/>
      </w:pPr>
      <w:r>
        <w:rPr>
          <w:rFonts w:ascii="Arial" w:hAnsi="Arial"/>
          <w:b/>
          <w:bCs/>
          <w:sz w:val="20"/>
          <w:szCs w:val="20"/>
        </w:rPr>
        <w:t>INGREDIENSE</w:t>
      </w:r>
      <w:r>
        <w:rPr>
          <w:rFonts w:ascii="Arial" w:hAnsi="Arial"/>
          <w:b/>
          <w:bCs/>
          <w:sz w:val="20"/>
          <w:szCs w:val="20"/>
        </w:rPr>
        <w:t xml:space="preserve">R </w:t>
      </w:r>
    </w:p>
    <w:p>
      <w:pPr>
        <w:pStyle w:val="Normal"/>
        <w:tabs>
          <w:tab w:val="clear" w:pos="1304"/>
          <w:tab w:val="left" w:pos="1005" w:leader="none"/>
        </w:tabs>
        <w:rPr>
          <w:rFonts w:ascii="Arial" w:hAnsi="Arial"/>
          <w:b w:val="false"/>
          <w:i w:val="false"/>
          <w:i w:val="false"/>
          <w:iCs w:val="false"/>
          <w:caps w:val="false"/>
          <w:smallCaps w:val="false"/>
          <w:color w:val="000000"/>
          <w:spacing w:val="0"/>
          <w:sz w:val="20"/>
          <w:szCs w:val="20"/>
        </w:rPr>
      </w:pPr>
      <w:r>
        <w:rPr>
          <w:rFonts w:ascii="Arial" w:hAnsi="Arial"/>
          <w:b w:val="false"/>
          <w:i w:val="false"/>
          <w:iCs w:val="false"/>
          <w:caps w:val="false"/>
          <w:smallCaps w:val="false"/>
          <w:color w:val="000000"/>
          <w:spacing w:val="0"/>
          <w:sz w:val="20"/>
          <w:szCs w:val="20"/>
        </w:rPr>
        <w:t>Glukospolymerer, Hydrolyserat vassleproteinisolat [Mjölk] (inklusive emulgeringmedel sojalecitin [E322]), Arom (hallon, vanilj), Mjölksyra [E270], Sötningsmedel (aspartam [E951], acesulfam-k [E950]), Rödbetsextrakt [E162].</w:t>
      </w:r>
      <w:r>
        <w:rPr>
          <w:rFonts w:ascii="Arial" w:hAnsi="Arial"/>
          <w:b w:val="false"/>
          <w:i/>
          <w:iCs/>
          <w:caps w:val="false"/>
          <w:smallCaps w:val="false"/>
          <w:color w:val="000000"/>
          <w:spacing w:val="0"/>
          <w:sz w:val="20"/>
          <w:szCs w:val="20"/>
        </w:rPr>
        <w:t>*Innehåller källa till fenylalanin.</w:t>
      </w:r>
    </w:p>
    <w:p>
      <w:pPr>
        <w:pStyle w:val="Normal"/>
        <w:tabs>
          <w:tab w:val="clear" w:pos="1304"/>
          <w:tab w:val="left" w:pos="1005" w:leader="none"/>
        </w:tabs>
        <w:rPr/>
      </w:pPr>
      <w:r>
        <w:rPr/>
      </w:r>
    </w:p>
    <w:p>
      <w:pPr>
        <w:pStyle w:val="Normal"/>
        <w:rPr>
          <w:rFonts w:ascii="Times;Times New Roman" w:hAnsi="Times;Times New Roman" w:cs="Times;Times New Roman"/>
          <w:b/>
          <w:b/>
          <w:bCs/>
          <w:caps/>
          <w:sz w:val="16"/>
          <w:szCs w:val="16"/>
          <w:lang w:val="sv-SE"/>
        </w:rPr>
      </w:pPr>
      <w:r>
        <w:rPr/>
      </w:r>
    </w:p>
    <w:p>
      <w:pPr>
        <w:pStyle w:val="Normal"/>
        <w:rPr>
          <w:rFonts w:ascii="Times;Times New Roman" w:hAnsi="Times;Times New Roman" w:cs="Times;Times New Roman"/>
          <w:b/>
          <w:b/>
          <w:bCs/>
          <w:caps/>
          <w:sz w:val="16"/>
          <w:szCs w:val="16"/>
          <w:lang w:val="sv-SE"/>
        </w:rPr>
      </w:pPr>
      <w:r>
        <w:rPr/>
      </w:r>
    </w:p>
    <w:p>
      <w:pPr>
        <w:pStyle w:val="Normal"/>
        <w:rPr>
          <w:rFonts w:ascii="Times;Times New Roman" w:hAnsi="Times;Times New Roman" w:cs="Times;Times New Roman"/>
          <w:b/>
          <w:b/>
          <w:bCs/>
          <w:caps/>
          <w:sz w:val="16"/>
          <w:szCs w:val="16"/>
          <w:lang w:val="sv-SE"/>
        </w:rPr>
      </w:pPr>
      <w:r>
        <w:rPr/>
      </w:r>
    </w:p>
    <w:p>
      <w:pPr>
        <w:pStyle w:val="Normal"/>
        <w:rPr>
          <w:rFonts w:ascii="Arial" w:hAnsi="Arial"/>
          <w:sz w:val="20"/>
          <w:szCs w:val="20"/>
        </w:rPr>
      </w:pPr>
      <w:r>
        <w:rPr>
          <w:rFonts w:cs="Times;Times New Roman" w:ascii="Arial" w:hAnsi="Arial"/>
          <w:b/>
          <w:bCs/>
          <w:caps/>
          <w:sz w:val="20"/>
          <w:szCs w:val="20"/>
          <w:lang w:val="sv-SE"/>
        </w:rPr>
        <w:t>Näringsinnehåll</w:t>
      </w:r>
      <w:r>
        <w:rPr>
          <w:rFonts w:cs="Times;Times New Roman" w:ascii="Arial" w:hAnsi="Arial"/>
          <w:b/>
          <w:bCs/>
          <w:caps/>
          <w:sz w:val="20"/>
          <w:szCs w:val="20"/>
          <w:lang w:val="sv-SE"/>
        </w:rPr>
        <w:t>:</w:t>
      </w:r>
    </w:p>
    <w:tbl>
      <w:tblPr>
        <w:tblW w:w="9686" w:type="dxa"/>
        <w:jc w:val="left"/>
        <w:tblInd w:w="-30" w:type="dxa"/>
        <w:tblCellMar>
          <w:top w:w="55" w:type="dxa"/>
          <w:left w:w="55" w:type="dxa"/>
          <w:bottom w:w="55" w:type="dxa"/>
          <w:right w:w="55" w:type="dxa"/>
        </w:tblCellMar>
      </w:tblPr>
      <w:tblGrid>
        <w:gridCol w:w="3509"/>
        <w:gridCol w:w="2939"/>
        <w:gridCol w:w="3238"/>
      </w:tblGrid>
      <w:tr>
        <w:trPr/>
        <w:tc>
          <w:tcPr>
            <w:tcW w:w="3509"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16"/>
                <w:szCs w:val="16"/>
              </w:rPr>
              <w:t>Näringsvärde/Nutritional value</w:t>
            </w:r>
          </w:p>
        </w:tc>
        <w:tc>
          <w:tcPr>
            <w:tcW w:w="2939"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16"/>
                <w:szCs w:val="16"/>
              </w:rPr>
              <w:t xml:space="preserve">100g </w:t>
            </w:r>
          </w:p>
        </w:tc>
        <w:tc>
          <w:tcPr>
            <w:tcW w:w="3238"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pPr>
            <w:r>
              <w:rPr>
                <w:b/>
                <w:bCs/>
                <w:sz w:val="16"/>
                <w:szCs w:val="16"/>
              </w:rPr>
              <w:t xml:space="preserve"> </w:t>
            </w:r>
            <w:r>
              <w:rPr>
                <w:b/>
                <w:bCs/>
                <w:sz w:val="16"/>
                <w:szCs w:val="16"/>
              </w:rPr>
              <w:t>50</w:t>
            </w:r>
            <w:r>
              <w:rPr>
                <w:b/>
                <w:bCs/>
                <w:sz w:val="16"/>
                <w:szCs w:val="16"/>
              </w:rPr>
              <w:t>g</w:t>
            </w:r>
          </w:p>
        </w:tc>
      </w:tr>
      <w:tr>
        <w:trPr/>
        <w:tc>
          <w:tcPr>
            <w:tcW w:w="3509" w:type="dxa"/>
            <w:tcBorders>
              <w:left w:val="single" w:sz="2" w:space="0" w:color="000000"/>
              <w:bottom w:val="single" w:sz="2" w:space="0" w:color="000000"/>
            </w:tcBorders>
            <w:shd w:fill="auto" w:val="clear"/>
          </w:tcPr>
          <w:p>
            <w:pPr>
              <w:pStyle w:val="Tabellinnehll"/>
              <w:spacing w:before="0" w:after="170"/>
              <w:rPr/>
            </w:pPr>
            <w:r>
              <w:rPr>
                <w:sz w:val="16"/>
                <w:szCs w:val="16"/>
              </w:rPr>
              <w:t>Energi/Energy (kJ/kcal)</w:t>
            </w:r>
          </w:p>
        </w:tc>
        <w:tc>
          <w:tcPr>
            <w:tcW w:w="2939" w:type="dxa"/>
            <w:tcBorders>
              <w:left w:val="single" w:sz="2" w:space="0" w:color="000000"/>
              <w:bottom w:val="single" w:sz="2" w:space="0" w:color="000000"/>
            </w:tcBorders>
            <w:shd w:fill="auto" w:val="clear"/>
          </w:tcPr>
          <w:p>
            <w:pPr>
              <w:pStyle w:val="Normal"/>
              <w:spacing w:before="0" w:after="170"/>
              <w:rPr/>
            </w:pPr>
            <w:r>
              <w:rPr>
                <w:sz w:val="20"/>
                <w:szCs w:val="20"/>
              </w:rPr>
              <w:t>1553kj/ 371</w:t>
            </w:r>
            <w:r>
              <w:rPr>
                <w:sz w:val="20"/>
                <w:szCs w:val="20"/>
              </w:rPr>
              <w:t>kcal</w:t>
            </w:r>
          </w:p>
        </w:tc>
        <w:tc>
          <w:tcPr>
            <w:tcW w:w="3238"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20"/>
                <w:szCs w:val="20"/>
              </w:rPr>
              <w:t>776kj/ 185</w:t>
            </w:r>
            <w:r>
              <w:rPr>
                <w:sz w:val="20"/>
                <w:szCs w:val="20"/>
              </w:rPr>
              <w:t>kcal</w:t>
            </w:r>
          </w:p>
        </w:tc>
      </w:tr>
      <w:tr>
        <w:trPr/>
        <w:tc>
          <w:tcPr>
            <w:tcW w:w="3509" w:type="dxa"/>
            <w:tcBorders>
              <w:left w:val="single" w:sz="2" w:space="0" w:color="000000"/>
              <w:bottom w:val="single" w:sz="2" w:space="0" w:color="000000"/>
            </w:tcBorders>
            <w:shd w:fill="auto" w:val="clear"/>
          </w:tcPr>
          <w:p>
            <w:pPr>
              <w:pStyle w:val="Tabellinnehll"/>
              <w:spacing w:before="0" w:after="170"/>
              <w:rPr/>
            </w:pPr>
            <w:r>
              <w:rPr>
                <w:sz w:val="16"/>
                <w:szCs w:val="16"/>
              </w:rPr>
              <w:t>Fett/Fat</w:t>
            </w:r>
          </w:p>
        </w:tc>
        <w:tc>
          <w:tcPr>
            <w:tcW w:w="2939" w:type="dxa"/>
            <w:tcBorders>
              <w:left w:val="single" w:sz="2" w:space="0" w:color="000000"/>
              <w:bottom w:val="single" w:sz="2" w:space="0" w:color="000000"/>
            </w:tcBorders>
            <w:shd w:fill="auto" w:val="clear"/>
          </w:tcPr>
          <w:p>
            <w:pPr>
              <w:pStyle w:val="Normal"/>
              <w:spacing w:before="0" w:after="170"/>
              <w:rPr/>
            </w:pPr>
            <w:r>
              <w:rPr>
                <w:sz w:val="20"/>
                <w:szCs w:val="20"/>
              </w:rPr>
              <w:t>0,1</w:t>
            </w:r>
            <w:r>
              <w:rPr>
                <w:sz w:val="20"/>
                <w:szCs w:val="20"/>
              </w:rPr>
              <w:t>g</w:t>
            </w:r>
          </w:p>
        </w:tc>
        <w:tc>
          <w:tcPr>
            <w:tcW w:w="3238" w:type="dxa"/>
            <w:tcBorders>
              <w:left w:val="single" w:sz="2" w:space="0" w:color="000000"/>
              <w:bottom w:val="single" w:sz="2" w:space="0" w:color="000000"/>
              <w:right w:val="single" w:sz="2" w:space="0" w:color="000000"/>
            </w:tcBorders>
            <w:shd w:fill="auto" w:val="clear"/>
          </w:tcPr>
          <w:p>
            <w:pPr>
              <w:pStyle w:val="Normal"/>
              <w:spacing w:before="0" w:after="170"/>
              <w:rPr/>
            </w:pPr>
            <w:r>
              <w:rPr>
                <w:sz w:val="20"/>
                <w:szCs w:val="20"/>
              </w:rPr>
              <w:t>0,05</w:t>
            </w:r>
            <w:r>
              <w:rPr>
                <w:sz w:val="20"/>
                <w:szCs w:val="20"/>
              </w:rPr>
              <w:t>g</w:t>
            </w:r>
          </w:p>
        </w:tc>
      </w:tr>
      <w:tr>
        <w:trPr/>
        <w:tc>
          <w:tcPr>
            <w:tcW w:w="3509" w:type="dxa"/>
            <w:tcBorders>
              <w:left w:val="single" w:sz="2" w:space="0" w:color="000000"/>
              <w:bottom w:val="single" w:sz="2" w:space="0" w:color="000000"/>
            </w:tcBorders>
            <w:shd w:fill="auto" w:val="clear"/>
          </w:tcPr>
          <w:p>
            <w:pPr>
              <w:pStyle w:val="Tabellinnehll"/>
              <w:spacing w:before="0" w:after="170"/>
              <w:rPr/>
            </w:pPr>
            <w:r>
              <w:rPr>
                <w:sz w:val="16"/>
                <w:szCs w:val="16"/>
              </w:rPr>
              <w:t>Kolhydrater/Carbohydrates</w:t>
            </w:r>
          </w:p>
        </w:tc>
        <w:tc>
          <w:tcPr>
            <w:tcW w:w="2939" w:type="dxa"/>
            <w:tcBorders>
              <w:left w:val="single" w:sz="2" w:space="0" w:color="000000"/>
              <w:bottom w:val="single" w:sz="2" w:space="0" w:color="000000"/>
            </w:tcBorders>
            <w:shd w:fill="auto" w:val="clear"/>
          </w:tcPr>
          <w:p>
            <w:pPr>
              <w:pStyle w:val="Normal"/>
              <w:spacing w:before="0" w:after="170"/>
              <w:rPr/>
            </w:pPr>
            <w:r>
              <w:rPr>
                <w:sz w:val="20"/>
                <w:szCs w:val="20"/>
              </w:rPr>
              <w:t>68</w:t>
            </w:r>
            <w:r>
              <w:rPr>
                <w:sz w:val="20"/>
                <w:szCs w:val="20"/>
              </w:rPr>
              <w:t>g</w:t>
            </w:r>
          </w:p>
        </w:tc>
        <w:tc>
          <w:tcPr>
            <w:tcW w:w="3238" w:type="dxa"/>
            <w:tcBorders>
              <w:left w:val="single" w:sz="2" w:space="0" w:color="000000"/>
              <w:bottom w:val="single" w:sz="2" w:space="0" w:color="000000"/>
              <w:right w:val="single" w:sz="2" w:space="0" w:color="000000"/>
            </w:tcBorders>
            <w:shd w:fill="auto" w:val="clear"/>
          </w:tcPr>
          <w:p>
            <w:pPr>
              <w:pStyle w:val="Normal"/>
              <w:spacing w:before="0" w:after="170"/>
              <w:rPr/>
            </w:pPr>
            <w:r>
              <w:rPr>
                <w:sz w:val="20"/>
                <w:szCs w:val="20"/>
              </w:rPr>
              <w:t>34</w:t>
            </w:r>
            <w:r>
              <w:rPr>
                <w:sz w:val="20"/>
                <w:szCs w:val="20"/>
              </w:rPr>
              <w:t>g</w:t>
            </w:r>
          </w:p>
        </w:tc>
      </w:tr>
      <w:tr>
        <w:trPr/>
        <w:tc>
          <w:tcPr>
            <w:tcW w:w="3509" w:type="dxa"/>
            <w:tcBorders>
              <w:left w:val="single" w:sz="2" w:space="0" w:color="000000"/>
              <w:bottom w:val="single" w:sz="2" w:space="0" w:color="000000"/>
            </w:tcBorders>
            <w:shd w:fill="auto" w:val="clear"/>
          </w:tcPr>
          <w:p>
            <w:pPr>
              <w:pStyle w:val="Tabellinnehll"/>
              <w:spacing w:before="0" w:after="170"/>
              <w:rPr/>
            </w:pPr>
            <w:r>
              <w:rPr>
                <w:sz w:val="16"/>
                <w:szCs w:val="16"/>
              </w:rPr>
              <w:t>Protein*(aminosyror)</w:t>
            </w:r>
          </w:p>
        </w:tc>
        <w:tc>
          <w:tcPr>
            <w:tcW w:w="2939" w:type="dxa"/>
            <w:tcBorders>
              <w:left w:val="single" w:sz="2" w:space="0" w:color="000000"/>
              <w:bottom w:val="single" w:sz="2" w:space="0" w:color="000000"/>
            </w:tcBorders>
            <w:shd w:fill="auto" w:val="clear"/>
          </w:tcPr>
          <w:p>
            <w:pPr>
              <w:pStyle w:val="Tabellinnehll"/>
              <w:spacing w:before="0" w:after="170"/>
              <w:rPr/>
            </w:pPr>
            <w:r>
              <w:rPr>
                <w:sz w:val="16"/>
                <w:szCs w:val="16"/>
              </w:rPr>
              <w:t>25</w:t>
            </w:r>
            <w:r>
              <w:rPr>
                <w:sz w:val="16"/>
                <w:szCs w:val="16"/>
              </w:rPr>
              <w:t>g</w:t>
            </w:r>
          </w:p>
        </w:tc>
        <w:tc>
          <w:tcPr>
            <w:tcW w:w="3238"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16"/>
                <w:szCs w:val="16"/>
              </w:rPr>
              <w:t>12,5</w:t>
            </w:r>
            <w:r>
              <w:rPr>
                <w:sz w:val="16"/>
                <w:szCs w:val="16"/>
              </w:rPr>
              <w:t>g</w:t>
            </w:r>
          </w:p>
        </w:tc>
      </w:tr>
      <w:tr>
        <w:trPr/>
        <w:tc>
          <w:tcPr>
            <w:tcW w:w="3509" w:type="dxa"/>
            <w:tcBorders>
              <w:left w:val="single" w:sz="2" w:space="0" w:color="000000"/>
              <w:bottom w:val="single" w:sz="2" w:space="0" w:color="000000"/>
            </w:tcBorders>
            <w:shd w:fill="auto" w:val="clear"/>
          </w:tcPr>
          <w:p>
            <w:pPr>
              <w:pStyle w:val="Tabellinnehll"/>
              <w:spacing w:before="0" w:after="170"/>
              <w:rPr/>
            </w:pPr>
            <w:r>
              <w:rPr>
                <w:sz w:val="16"/>
                <w:szCs w:val="16"/>
              </w:rPr>
              <w:t>Salt/Sodium</w:t>
            </w:r>
          </w:p>
        </w:tc>
        <w:tc>
          <w:tcPr>
            <w:tcW w:w="2939" w:type="dxa"/>
            <w:tcBorders>
              <w:left w:val="single" w:sz="2" w:space="0" w:color="000000"/>
              <w:bottom w:val="single" w:sz="2" w:space="0" w:color="000000"/>
            </w:tcBorders>
            <w:shd w:fill="auto" w:val="clear"/>
          </w:tcPr>
          <w:p>
            <w:pPr>
              <w:pStyle w:val="Tabellinnehll"/>
              <w:spacing w:before="0" w:after="170"/>
              <w:rPr/>
            </w:pPr>
            <w:r>
              <w:rPr>
                <w:sz w:val="16"/>
                <w:szCs w:val="16"/>
              </w:rPr>
              <w:t>0,3</w:t>
            </w:r>
            <w:r>
              <w:rPr>
                <w:sz w:val="16"/>
                <w:szCs w:val="16"/>
              </w:rPr>
              <w:t>g</w:t>
            </w:r>
          </w:p>
        </w:tc>
        <w:tc>
          <w:tcPr>
            <w:tcW w:w="3238"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16"/>
                <w:szCs w:val="16"/>
              </w:rPr>
              <w:t>0,</w:t>
            </w:r>
            <w:r>
              <w:rPr>
                <w:sz w:val="16"/>
                <w:szCs w:val="16"/>
              </w:rPr>
              <w:t>15</w:t>
            </w:r>
            <w:r>
              <w:rPr>
                <w:sz w:val="16"/>
                <w:szCs w:val="16"/>
              </w:rPr>
              <w:t>g</w:t>
            </w:r>
          </w:p>
        </w:tc>
      </w:tr>
    </w:tbl>
    <w:p>
      <w:pPr>
        <w:pStyle w:val="Pa2"/>
        <w:rPr>
          <w:rStyle w:val="A5"/>
          <w:b/>
          <w:b/>
          <w:bCs/>
          <w:caps/>
          <w:lang w:val="sv-SE"/>
        </w:rPr>
      </w:pPr>
      <w:r>
        <w:rPr>
          <w:b/>
          <w:bCs/>
          <w:caps/>
          <w:sz w:val="16"/>
          <w:szCs w:val="16"/>
          <w:lang w:val="sv-SE"/>
        </w:rPr>
      </w:r>
    </w:p>
    <w:p>
      <w:pPr>
        <w:pStyle w:val="Normal"/>
        <w:rPr>
          <w:rFonts w:ascii="Times;Times New Roman" w:hAnsi="Times;Times New Roman" w:cs="Times;Times New Roman"/>
          <w:b/>
          <w:b/>
          <w:bCs/>
          <w:caps/>
          <w:sz w:val="16"/>
          <w:szCs w:val="16"/>
          <w:lang w:val="sv-SE"/>
        </w:rPr>
      </w:pPr>
      <w:r>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sz w:val="18"/>
          <w:szCs w:val="18"/>
        </w:rPr>
      </w:r>
    </w:p>
    <w:p>
      <w:pPr>
        <w:pStyle w:val="Rubrik4press"/>
        <w:rPr>
          <w:sz w:val="18"/>
          <w:szCs w:val="18"/>
        </w:rPr>
      </w:pPr>
      <w:r>
        <w:rPr>
          <w:rFonts w:ascii="Arial" w:hAnsi="Arial"/>
          <w:sz w:val="18"/>
          <w:szCs w:val="18"/>
        </w:rPr>
        <w:t>ÖVRIGT</w:t>
      </w:r>
      <w:r>
        <w:rPr>
          <w:rStyle w:val="A5"/>
          <w:rFonts w:cs="Times New Roman" w:ascii="Arial" w:hAnsi="Arial"/>
          <w:b w:val="false"/>
          <w:i w:val="false"/>
          <w:caps w:val="false"/>
          <w:smallCaps w:val="false"/>
          <w:color w:val="000000"/>
          <w:spacing w:val="0"/>
          <w:sz w:val="18"/>
          <w:szCs w:val="18"/>
          <w:lang w:val="sv-SE"/>
        </w:rPr>
        <w:br/>
      </w:r>
      <w:r>
        <w:rPr>
          <w:rStyle w:val="A5"/>
          <w:rFonts w:cs="Times New Roman" w:ascii="Arial" w:hAnsi="Arial"/>
          <w:b/>
          <w:bCs/>
          <w:i w:val="false"/>
          <w:iCs w:val="false"/>
          <w:caps w:val="false"/>
          <w:smallCaps w:val="false"/>
          <w:color w:val="000000"/>
          <w:spacing w:val="0"/>
          <w:sz w:val="18"/>
          <w:szCs w:val="18"/>
          <w:lang w:val="sv-SE"/>
        </w:rPr>
        <w:t>A</w:t>
      </w:r>
      <w:r>
        <w:rPr>
          <w:rFonts w:ascii="Arial" w:hAnsi="Arial"/>
          <w:b/>
          <w:bCs/>
          <w:i w:val="false"/>
          <w:iCs w:val="false"/>
          <w:caps w:val="false"/>
          <w:smallCaps w:val="false"/>
          <w:color w:val="000000"/>
          <w:spacing w:val="0"/>
          <w:sz w:val="18"/>
          <w:szCs w:val="18"/>
        </w:rPr>
        <w:t>llergener:</w:t>
      </w:r>
      <w:r>
        <w:rPr>
          <w:rFonts w:ascii="Arial" w:hAnsi="Arial"/>
          <w:b w:val="false"/>
          <w:i/>
          <w:iCs/>
          <w:caps w:val="false"/>
          <w:smallCaps w:val="false"/>
          <w:color w:val="000000"/>
          <w:spacing w:val="0"/>
          <w:sz w:val="18"/>
          <w:szCs w:val="18"/>
        </w:rPr>
        <w:t xml:space="preserve"> Mjölk</w:t>
      </w:r>
    </w:p>
    <w:p>
      <w:pPr>
        <w:pStyle w:val="Tabellfrteckningrubrik"/>
        <w:tabs>
          <w:tab w:val="clear" w:pos="1304"/>
          <w:tab w:val="left" w:pos="1005" w:leader="none"/>
        </w:tabs>
        <w:rPr>
          <w:rStyle w:val="A5"/>
          <w:rFonts w:ascii="Arial" w:hAnsi="Arial" w:cs="Times New Roman"/>
          <w:sz w:val="18"/>
          <w:szCs w:val="18"/>
          <w:lang w:val="sv-SE"/>
        </w:rPr>
      </w:pPr>
      <w:r>
        <w:rPr>
          <w:sz w:val="18"/>
          <w:szCs w:val="18"/>
        </w:rPr>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Times">
    <w:altName w:val="Times New Roman"/>
    <w:charset w:val="00"/>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 xml:space="preserve">Produktblad: </w:t>
    </w:r>
    <w:r>
      <w:rPr/>
      <w:t>Recovery Extreme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Betonad">
    <w:name w:val="Betonad"/>
    <w:qFormat/>
    <w:rPr>
      <w:i/>
      <w:iCs/>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Horisontelllinje">
    <w:name w:val="Horisontell linje"/>
    <w:basedOn w:val="Normal"/>
    <w:next w:val="Brdtext"/>
    <w:qFormat/>
    <w:pPr>
      <w:suppressLineNumbers/>
      <w:pBdr>
        <w:bottom w:val="double" w:sz="2" w:space="0" w:color="808080"/>
      </w:pBdr>
      <w:spacing w:before="0" w:after="283"/>
    </w:pPr>
    <w:rPr>
      <w:sz w:val="12"/>
      <w:szCs w:val="12"/>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Application>LibreOffice/6.2.5.2$Windows_X86_64 LibreOffice_project/1ec314fa52f458adc18c4f025c545a4e8b22c159</Application>
  <Pages>2</Pages>
  <Words>333</Words>
  <Characters>2156</Characters>
  <CharactersWithSpaces>2507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2020-10-07T11:55:07Z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