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>
          <w:rStyle w:val="Strong"/>
          <w:b/>
        </w:rPr>
        <w:t xml:space="preserve">NAD+, </w:t>
      </w:r>
      <w:r>
        <w:rPr>
          <w:rStyle w:val="Strong"/>
          <w:b w:val="false"/>
          <w:bCs w:val="false"/>
        </w:rPr>
        <w:t>6</w:t>
      </w:r>
      <w:r>
        <w:rPr>
          <w:rStyle w:val="Strong"/>
          <w:b w:val="false"/>
          <w:bCs w:val="false"/>
          <w:i w:val="false"/>
          <w:iCs w:val="false"/>
        </w:rPr>
        <w:t>0 kapslar</w:t>
      </w:r>
    </w:p>
    <w:p>
      <w:pPr>
        <w:pStyle w:val="Rubrik2press"/>
        <w:jc w:val="left"/>
        <w:rPr/>
      </w:pPr>
      <w:r>
        <w:rPr>
          <w:rStyle w:val="Strong"/>
          <w:b/>
          <w:sz w:val="20"/>
          <w:szCs w:val="20"/>
        </w:rPr>
        <w:t xml:space="preserve">Art nr. </w:t>
      </w:r>
      <w:r>
        <w:rPr>
          <w:rStyle w:val="Strong"/>
          <w:b w:val="false"/>
          <w:bCs w:val="false"/>
          <w:sz w:val="20"/>
          <w:szCs w:val="20"/>
        </w:rPr>
        <w:t>337</w:t>
        <w:br/>
      </w:r>
      <w:r>
        <w:rPr>
          <w:rStyle w:val="Strong"/>
          <w:b/>
          <w:bCs/>
          <w:sz w:val="20"/>
          <w:szCs w:val="20"/>
        </w:rPr>
        <w:t>EAN:</w:t>
      </w:r>
      <w:r>
        <w:rPr>
          <w:rStyle w:val="Strong"/>
          <w:b w:val="false"/>
          <w:bCs w:val="false"/>
          <w:sz w:val="20"/>
          <w:szCs w:val="20"/>
        </w:rPr>
        <w:t xml:space="preserve"> 7 350044501128</w:t>
      </w:r>
    </w:p>
    <w:p>
      <w:pPr>
        <w:pStyle w:val="Brdtext"/>
        <w:rPr/>
      </w:pPr>
      <w:r>
        <w:rPr>
          <w:rStyle w:val="Betonad"/>
          <w:rFonts w:ascii="Lato;sans-serif" w:hAnsi="Lato;sans-serif"/>
          <w:b/>
          <w:bCs/>
          <w:i w:val="false"/>
          <w:caps w:val="false"/>
          <w:smallCaps w:val="false"/>
          <w:color w:val="555555"/>
          <w:spacing w:val="0"/>
          <w:sz w:val="21"/>
          <w:szCs w:val="21"/>
        </w:rPr>
        <w:br/>
      </w:r>
      <w:r>
        <w:rPr>
          <w:rStyle w:val="Betonad"/>
          <w:rFonts w:ascii="Lato;sans-serif" w:hAnsi="Lato;sans-serif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NAD+ (nikotinamidadenindinukleotid) är ett koenzym som finns naturligt i alla levande celler och spelar en viktig roll i energiomsättningen och reparation av cellerna. Med stigande ålder minskar nivåerna av NAD+ naturligt i kroppen, vilket gör att en äldre person får svårare att stå emot de påfrestningar som cellerna utsätts för och ökar risken för många åldersrelaterade hälsoproblem.</w:t>
      </w:r>
      <w:r>
        <w:rPr>
          <w:rStyle w:val="Strong"/>
          <w:rFonts w:ascii="Arial" w:hAnsi="Arial"/>
          <w:color w:val="000000"/>
          <w:sz w:val="18"/>
          <w:szCs w:val="18"/>
        </w:rPr>
        <w:t xml:space="preserve"> </w:t>
      </w:r>
    </w:p>
    <w:p>
      <w:pPr>
        <w:pStyle w:val="Brdtext"/>
        <w:rPr/>
      </w:pPr>
      <w:r>
        <w:rPr>
          <w:rStyle w:val="Strong"/>
          <w:rFonts w:ascii="Arial" w:hAnsi="Arial"/>
          <w:b w:val="false"/>
          <w:bCs w:val="false"/>
          <w:sz w:val="18"/>
          <w:szCs w:val="18"/>
        </w:rPr>
        <w:t>Till viss del kan du påverka nivåerna av NAD+ i cellerna. Det är de vanliga hälsoråden med goda kostvanor, motion och bra sömn som gäller. Dessutom verkar olika typer av fasta kunna påverka NAD+ nivåerna. Men det går även att tillföra NAD+ som kosttillskott utöver dessa allmänna hälsoråd.</w:t>
      </w:r>
    </w:p>
    <w:p>
      <w:pPr>
        <w:pStyle w:val="Brdtext"/>
        <w:rPr/>
      </w:pPr>
      <w:r>
        <w:rPr>
          <w:rStyle w:val="Strong"/>
          <w:rFonts w:ascii="Arial" w:hAnsi="Arial"/>
          <w:b w:val="false"/>
          <w:bCs w:val="false"/>
          <w:sz w:val="18"/>
          <w:szCs w:val="18"/>
        </w:rPr>
        <w:t xml:space="preserve">Även om vi ser att nivåerna av NAD+ minskar i cellerna med stigande ålder så är det många faktorer som spelar in och det går inte att säga att ett tillskott av NAD+ botar åldrande. Däremot finns ett antal studier på såväl djur som människor som visar på en rad positiva effekter (1,2,3,4) på ett flertal åldersrelaterade problem och sjukdomar. </w:t>
      </w:r>
    </w:p>
    <w:p>
      <w:pPr>
        <w:pStyle w:val="Brdtext"/>
        <w:rPr/>
      </w:pPr>
      <w:r>
        <w:rPr>
          <w:rStyle w:val="Strong"/>
          <w:rFonts w:ascii="Arial" w:hAnsi="Arial"/>
          <w:b w:val="false"/>
          <w:bCs w:val="false"/>
          <w:sz w:val="18"/>
          <w:szCs w:val="18"/>
        </w:rPr>
        <w:t>Fairing NAD+ innehåller dessutom betaine och Tryptofan för att ytterligare förstärka de positiva effekterna av NAD+.</w:t>
      </w:r>
    </w:p>
    <w:p>
      <w:pPr>
        <w:pStyle w:val="Brdtext"/>
        <w:rPr/>
      </w:pPr>
      <w:r>
        <w:rPr>
          <w:rStyle w:val="Strong"/>
          <w:rFonts w:ascii="Arial" w:hAnsi="Arial"/>
          <w:b/>
          <w:bCs/>
          <w:sz w:val="18"/>
          <w:szCs w:val="18"/>
        </w:rPr>
        <w:t xml:space="preserve">Betaine </w:t>
      </w:r>
      <w:r>
        <w:rPr>
          <w:rStyle w:val="Strong"/>
          <w:rFonts w:ascii="Arial" w:hAnsi="Arial"/>
          <w:b w:val="false"/>
          <w:bCs w:val="false"/>
          <w:sz w:val="18"/>
          <w:szCs w:val="18"/>
        </w:rPr>
        <w:t>hjälper till att optimera metylering en process som påverkar DNA, proteiner och lipider), vilket är viktigt för att stödja många biokemiska reaktioner i kroppen, inklusive de som involverar NAD+.</w:t>
      </w:r>
    </w:p>
    <w:p>
      <w:pPr>
        <w:pStyle w:val="Brdtext"/>
        <w:rPr/>
      </w:pPr>
      <w:r>
        <w:rPr>
          <w:rStyle w:val="Strong"/>
          <w:rFonts w:ascii="Arial" w:hAnsi="Arial"/>
          <w:b w:val="false"/>
          <w:bCs w:val="false"/>
          <w:sz w:val="18"/>
          <w:szCs w:val="18"/>
        </w:rPr>
        <w:t>Betaine bidrar också till att förbättra homocystein-nivåer, en aminosyra som kan påverka NAD+-syntesen. Genom att hålla homocystein i schack kan Betaine indirekt stödja NAD+ produktion.</w:t>
      </w:r>
    </w:p>
    <w:p>
      <w:pPr>
        <w:pStyle w:val="Brdtext"/>
        <w:rPr/>
      </w:pPr>
      <w:r>
        <w:rPr>
          <w:rStyle w:val="Strong"/>
          <w:rFonts w:ascii="Arial" w:hAnsi="Arial"/>
          <w:b/>
          <w:bCs/>
          <w:sz w:val="18"/>
          <w:szCs w:val="18"/>
        </w:rPr>
        <w:t>Tryptofan</w:t>
      </w:r>
      <w:r>
        <w:rPr>
          <w:rStyle w:val="Strong"/>
          <w:rFonts w:ascii="Arial" w:hAnsi="Arial"/>
          <w:b w:val="false"/>
          <w:bCs w:val="false"/>
          <w:sz w:val="18"/>
          <w:szCs w:val="18"/>
        </w:rPr>
        <w:t xml:space="preserve"> är en prekursor till serotonin, men det är också viktigt för att syntetisera nikotinsyra (niacin), som är en av de byggstenarna för NAD+.</w:t>
      </w:r>
    </w:p>
    <w:p>
      <w:pPr>
        <w:pStyle w:val="Brdtext"/>
        <w:rPr/>
      </w:pPr>
      <w:r>
        <w:rPr>
          <w:rStyle w:val="Strong"/>
          <w:rFonts w:ascii="Arial" w:hAnsi="Arial"/>
          <w:b w:val="false"/>
          <w:bCs w:val="false"/>
          <w:sz w:val="18"/>
          <w:szCs w:val="18"/>
        </w:rPr>
        <w:t>Genom att tillhandahålla tryptofan kan kroppen använda det för att öka nivån av niacin, som i sin tur kan omvandlas till NAD+ och stödja energiproduktionen samt reparationsprocesser i cellerna.</w:t>
      </w:r>
      <w:r>
        <w:rPr>
          <w:rStyle w:val="Strong"/>
          <w:rFonts w:ascii="Arial" w:hAnsi="Arial"/>
          <w:b w:val="false"/>
          <w:bCs w:val="false"/>
          <w:sz w:val="18"/>
          <w:szCs w:val="18"/>
        </w:rPr>
        <w:b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rong"/>
          <w:rFonts w:ascii="Arial" w:hAnsi="Arial"/>
          <w:b w:val="false"/>
          <w:bCs w:val="false"/>
          <w:i/>
          <w:iCs/>
          <w:sz w:val="18"/>
          <w:szCs w:val="18"/>
          <w:lang w:val="en-US"/>
        </w:rPr>
        <w:t>1. Science 2015 Dec 4;350(6265):1208-13. NAD⁺ in aging, metabolism, and neurodegeneration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rong"/>
          <w:rFonts w:ascii="Arial" w:hAnsi="Arial"/>
          <w:b w:val="false"/>
          <w:bCs w:val="false"/>
          <w:i/>
          <w:i/>
          <w:iCs/>
          <w:sz w:val="18"/>
          <w:szCs w:val="18"/>
          <w:lang w:val="en-US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rong"/>
          <w:rFonts w:ascii="Arial" w:hAnsi="Arial"/>
          <w:b w:val="false"/>
          <w:bCs w:val="false"/>
          <w:i/>
          <w:iCs/>
          <w:sz w:val="18"/>
          <w:szCs w:val="18"/>
          <w:lang w:val="en-US"/>
        </w:rPr>
        <w:t>2. Int J Mol Sci2023  Feb 3;24(3):2959. The Central Role of the NAD+ Molecule in the Development of Aging and the Prevention of Chronic Age-Related Diseases: Strategies for NAD+ Modulation</w:t>
      </w:r>
    </w:p>
    <w:p>
      <w:pPr>
        <w:pStyle w:val="Tabellfrteckningrubrik"/>
        <w:rPr>
          <w:rFonts w:ascii="Arial" w:hAnsi="Arial"/>
          <w:b/>
          <w:bCs/>
          <w:i w:val="false"/>
          <w:i w:val="false"/>
          <w:caps w:val="false"/>
          <w:smallCaps w:val="false"/>
          <w:color w:val="auto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18"/>
          <w:szCs w:val="18"/>
        </w:rPr>
      </w:r>
    </w:p>
    <w:p>
      <w:pPr>
        <w:pStyle w:val="Brdtextpress"/>
        <w:rPr>
          <w:sz w:val="18"/>
          <w:szCs w:val="18"/>
        </w:rPr>
      </w:pPr>
      <w:r>
        <w:rPr>
          <w:b/>
          <w:bCs/>
          <w:sz w:val="18"/>
          <w:szCs w:val="18"/>
        </w:rPr>
        <w:t>NETTOVIKT</w:t>
        <w:br/>
      </w:r>
      <w:r>
        <w:rPr>
          <w:b w:val="false"/>
          <w:bCs w:val="false"/>
          <w:sz w:val="18"/>
          <w:szCs w:val="18"/>
        </w:rPr>
        <w:t>60 kapslar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br/>
        <w:t>DOSERINGSSTORLEK</w:t>
        <w:br/>
        <w:t>1-</w:t>
      </w:r>
      <w:r>
        <w:rPr>
          <w:b w:val="false"/>
          <w:bCs w:val="false"/>
          <w:sz w:val="18"/>
          <w:szCs w:val="18"/>
        </w:rPr>
        <w:t>2 kapslar</w:t>
      </w:r>
    </w:p>
    <w:p>
      <w:pPr>
        <w:pStyle w:val="Brdtextpress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DOSERING </w:t>
        <w:br/>
        <w:t>1-</w:t>
      </w:r>
      <w:r>
        <w:rPr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2 kapslar dagligen </w:t>
      </w:r>
      <w:r>
        <w:rPr>
          <w:b w:val="false"/>
          <w:bCs w:val="false"/>
          <w:color w:val="auto"/>
          <w:sz w:val="18"/>
          <w:szCs w:val="18"/>
        </w:rPr>
        <w:t xml:space="preserve"> </w:t>
      </w:r>
    </w:p>
    <w:p>
      <w:pPr>
        <w:pStyle w:val="Brdtextpress"/>
        <w:rPr>
          <w:sz w:val="18"/>
          <w:szCs w:val="18"/>
        </w:rPr>
      </w:pPr>
      <w:r>
        <w:rPr>
          <w:b/>
          <w:bCs/>
          <w:sz w:val="18"/>
          <w:szCs w:val="18"/>
        </w:rPr>
        <w:br/>
        <w:t xml:space="preserve">INGREDIENSER </w:t>
      </w:r>
      <w:r>
        <w:rPr>
          <w:b w:val="false"/>
          <w:bCs/>
          <w:i w:val="false"/>
          <w:caps w:val="false"/>
          <w:smallCaps w:val="false"/>
          <w:spacing w:val="0"/>
          <w:sz w:val="18"/>
          <w:szCs w:val="18"/>
        </w:rPr>
        <w:br/>
        <w:t>Övriga ingredienser: Maltodextrin ,emulgeringsmedel (magnesium stearat) antiklumpmedel (kiseldioxid) ,kapselhölje av cellulosa ( E464)</w:t>
      </w:r>
    </w:p>
    <w:p>
      <w:pPr>
        <w:pStyle w:val="Brdtextpress"/>
        <w:rPr>
          <w:rFonts w:ascii="Arial" w:hAnsi="Arial"/>
          <w:b/>
          <w:bCs/>
        </w:rPr>
      </w:pPr>
      <w:r>
        <w:rPr>
          <w:b/>
          <w:bCs/>
        </w:rPr>
      </w:r>
    </w:p>
    <w:p>
      <w:pPr>
        <w:pStyle w:val="Brdtextpress"/>
        <w:rPr>
          <w:rFonts w:ascii="Arial" w:hAnsi="Arial"/>
          <w:b/>
          <w:bCs/>
        </w:rPr>
      </w:pPr>
      <w:r>
        <w:rPr>
          <w:b/>
          <w:bCs/>
        </w:rPr>
      </w:r>
    </w:p>
    <w:p>
      <w:pPr>
        <w:pStyle w:val="Brdtextpress"/>
        <w:rPr/>
      </w:pPr>
      <w:r>
        <w:rPr>
          <w:b/>
          <w:bCs/>
          <w:sz w:val="20"/>
          <w:szCs w:val="20"/>
        </w:rPr>
        <w:br/>
        <w:t>INNEHÅLL</w:t>
      </w:r>
    </w:p>
    <w:tbl>
      <w:tblPr>
        <w:tblW w:w="52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2379"/>
      </w:tblGrid>
      <w:tr>
        <w:trPr>
          <w:tblHeader w:val="true"/>
        </w:trPr>
        <w:tc>
          <w:tcPr>
            <w:tcW w:w="2890" w:type="dxa"/>
            <w:tcBorders>
              <w:top w:val="single" w:sz="2" w:space="0" w:color="111111"/>
            </w:tcBorders>
            <w:shd w:fill="FFFFFF" w:val="clear"/>
            <w:vAlign w:val="center"/>
          </w:tcPr>
          <w:p>
            <w:pPr>
              <w:pStyle w:val="Tabellinnehll"/>
              <w:widowControl w:val="false"/>
              <w:spacing w:lineRule="auto" w:line="312"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sz w:val="20"/>
                <w:szCs w:val="20"/>
              </w:rPr>
              <w:t>INNEHÅLL PER</w:t>
            </w:r>
          </w:p>
        </w:tc>
        <w:tc>
          <w:tcPr>
            <w:tcW w:w="2379" w:type="dxa"/>
            <w:tcBorders>
              <w:top w:val="single" w:sz="2" w:space="0" w:color="111111"/>
            </w:tcBorders>
            <w:shd w:fill="FFFFFF" w:val="clear"/>
            <w:vAlign w:val="center"/>
          </w:tcPr>
          <w:p>
            <w:pPr>
              <w:pStyle w:val="Tabellinnehll"/>
              <w:widowControl w:val="false"/>
              <w:spacing w:lineRule="auto" w:line="312" w:before="0" w:after="160"/>
              <w:jc w:val="left"/>
              <w:rPr>
                <w:rFonts w:ascii="Calibri" w:hAnsi="Calibri" w:eastAsia="Calibri" w:cs="" w:asciiTheme="minorHAnsi" w:cstheme="minorBidi" w:eastAsia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sz w:val="20"/>
                <w:szCs w:val="20"/>
              </w:rPr>
              <w:t xml:space="preserve">1 KAPS </w:t>
            </w:r>
          </w:p>
        </w:tc>
      </w:tr>
      <w:tr>
        <w:trPr>
          <w:trHeight w:val="283" w:hRule="atLeast"/>
        </w:trPr>
        <w:tc>
          <w:tcPr>
            <w:tcW w:w="2890" w:type="dxa"/>
            <w:tcBorders/>
            <w:shd w:fill="FFFFFF" w:val="clear"/>
            <w:vAlign w:val="center"/>
          </w:tcPr>
          <w:p>
            <w:pPr>
              <w:pStyle w:val="Tabellinnehll"/>
              <w:widowControl w:val="false"/>
              <w:spacing w:lineRule="auto" w:line="312" w:before="0" w:after="103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Nikotinamidribosidklorin</w:t>
            </w:r>
          </w:p>
        </w:tc>
        <w:tc>
          <w:tcPr>
            <w:tcW w:w="2379" w:type="dxa"/>
            <w:tcBorders/>
            <w:shd w:fill="FFFFFF" w:val="clear"/>
            <w:vAlign w:val="center"/>
          </w:tcPr>
          <w:p>
            <w:pPr>
              <w:pStyle w:val="Tabellinnehll"/>
              <w:widowControl w:val="false"/>
              <w:spacing w:lineRule="auto" w:line="312" w:before="0" w:after="103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150 mg</w:t>
            </w:r>
          </w:p>
        </w:tc>
      </w:tr>
      <w:tr>
        <w:trPr>
          <w:trHeight w:val="283" w:hRule="atLeast"/>
        </w:trPr>
        <w:tc>
          <w:tcPr>
            <w:tcW w:w="2890" w:type="dxa"/>
            <w:tcBorders>
              <w:top w:val="single" w:sz="2" w:space="0" w:color="DDDDDD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Tabellinnehll"/>
              <w:widowControl w:val="false"/>
              <w:spacing w:lineRule="auto" w:line="312" w:before="0" w:after="103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Trimetyglycin (Betain)</w:t>
            </w:r>
          </w:p>
        </w:tc>
        <w:tc>
          <w:tcPr>
            <w:tcW w:w="2379" w:type="dxa"/>
            <w:tcBorders>
              <w:top w:val="single" w:sz="2" w:space="0" w:color="DDDDDD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Tabellinnehll"/>
              <w:widowControl w:val="false"/>
              <w:spacing w:lineRule="auto" w:line="312" w:before="0" w:after="103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mg</w:t>
            </w:r>
          </w:p>
        </w:tc>
      </w:tr>
      <w:tr>
        <w:trPr>
          <w:trHeight w:val="283" w:hRule="atLeast"/>
        </w:trPr>
        <w:tc>
          <w:tcPr>
            <w:tcW w:w="2890" w:type="dxa"/>
            <w:tcBorders>
              <w:top w:val="single" w:sz="2" w:space="0" w:color="DDDDDD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Tabellinnehll"/>
              <w:widowControl w:val="false"/>
              <w:spacing w:lineRule="auto" w:line="312" w:before="0" w:after="103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Tryptofan</w:t>
            </w:r>
          </w:p>
        </w:tc>
        <w:tc>
          <w:tcPr>
            <w:tcW w:w="2379" w:type="dxa"/>
            <w:tcBorders>
              <w:top w:val="single" w:sz="2" w:space="0" w:color="DDDDDD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Tabellinnehll"/>
              <w:widowControl w:val="false"/>
              <w:spacing w:lineRule="auto" w:line="312" w:before="0" w:after="103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mg</w:t>
            </w:r>
          </w:p>
        </w:tc>
      </w:tr>
    </w:tbl>
    <w:p>
      <w:pPr>
        <w:pStyle w:val="Tabellinnehll"/>
        <w:spacing w:lineRule="auto" w:line="312"/>
        <w:jc w:val="left"/>
        <w:rPr>
          <w:color w:val="auto"/>
        </w:rPr>
      </w:pPr>
      <w:r>
        <w:rPr>
          <w:b/>
          <w:bCs/>
          <w:i/>
          <w:iCs/>
          <w:caps w:val="false"/>
          <w:smallCaps w:val="false"/>
          <w:color w:val="auto"/>
          <w:spacing w:val="0"/>
          <w:sz w:val="20"/>
          <w:szCs w:val="20"/>
        </w:rPr>
        <w:br/>
      </w:r>
    </w:p>
    <w:p>
      <w:pPr>
        <w:pStyle w:val="Brdtextpress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rdtextpress"/>
        <w:rPr>
          <w:sz w:val="18"/>
          <w:szCs w:val="18"/>
        </w:rPr>
      </w:pPr>
      <w:r>
        <w:rPr>
          <w:b/>
          <w:bCs/>
          <w:sz w:val="18"/>
          <w:szCs w:val="18"/>
        </w:rPr>
        <w:t>ÖVRIGT</w:t>
      </w:r>
      <w:r>
        <w:rPr>
          <w:sz w:val="18"/>
          <w:szCs w:val="18"/>
        </w:rPr>
        <w:br/>
      </w:r>
      <w:r>
        <w:rPr>
          <w:b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>-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rong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rong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 xml:space="preserve">Rekommenderad dagsdos ska ej överskridas. Bör inte användas som alternativ till en varierad kost. Rekommendera ej till barn, gravida eller ammande. Rekommenderas ej för barn och gravida.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ato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2025-05-22</w:t>
    </w:r>
  </w:p>
  <w:p>
    <w:pPr>
      <w:pStyle w:val="Sidhuvud"/>
      <w:rPr/>
    </w:pPr>
    <w:r>
      <w:rPr/>
      <w:tab/>
      <w:tab/>
      <w:t>Produktblad: NAD+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rong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character" w:styleId="Betonad">
    <w:name w:val="Emphasis"/>
    <w:qFormat/>
    <w:rPr>
      <w:i/>
      <w:iCs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Application>LibreOffice/7.5.1.2$Windows_X86_64 LibreOffice_project/fcbaee479e84c6cd81291587d2ee68cba099e129</Application>
  <AppVersion>15.0000</AppVersion>
  <Pages>3</Pages>
  <Words>439</Words>
  <Characters>2563</Characters>
  <CharactersWithSpaces>3040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dcterms:modified xsi:type="dcterms:W3CDTF">2025-05-30T10:49:24Z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