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 xml:space="preserve">Elektrolyt, </w:t>
      </w:r>
      <w:r>
        <w:rPr>
          <w:rStyle w:val="Strong"/>
          <w:b w:val="false"/>
          <w:bCs w:val="false"/>
        </w:rPr>
        <w:t>250</w:t>
      </w:r>
      <w:r>
        <w:rPr>
          <w:rStyle w:val="Strong"/>
          <w:b w:val="false"/>
          <w:bCs w:val="false"/>
          <w:i w:val="false"/>
          <w:iCs w:val="false"/>
        </w:rPr>
        <w:t>g</w:t>
      </w:r>
    </w:p>
    <w:p>
      <w:pPr>
        <w:pStyle w:val="Normal"/>
        <w:rPr>
          <w:rStyle w:val="Strong"/>
          <w:rFonts w:ascii="Arial" w:hAnsi="Arial"/>
          <w:b w:val="false"/>
          <w:bCs w:val="false"/>
          <w:sz w:val="20"/>
          <w:szCs w:val="20"/>
        </w:rPr>
      </w:pPr>
      <w:r>
        <w:rPr>
          <w:rStyle w:val="Strong"/>
          <w:rFonts w:ascii="Arial" w:hAnsi="Arial"/>
          <w:sz w:val="20"/>
          <w:szCs w:val="20"/>
        </w:rPr>
        <w:t>Art nr. 339</w:t>
      </w:r>
    </w:p>
    <w:p>
      <w:pPr>
        <w:pStyle w:val="Brdtext"/>
        <w:rPr/>
      </w:pPr>
      <w:r>
        <w:rPr>
          <w:rStyle w:val="Strong"/>
          <w:rFonts w:ascii="Arial" w:hAnsi="Arial"/>
          <w:color w:val="auto"/>
          <w:sz w:val="16"/>
          <w:szCs w:val="16"/>
        </w:rPr>
        <w:t>Fairing Elektrolyt är ett kosttillskott i pulverform som innehåller noggrant utvalda elektrolyter i form av magnesium, kalium och kalcium. Produkten är utvecklad för dig som tränar hårt, svettas mycket eller vill optimera ditt mineralintag i samband med fysisk prestation.</w:t>
      </w:r>
    </w:p>
    <w:p>
      <w:pPr>
        <w:pStyle w:val="Brdtext"/>
        <w:rPr>
          <w:rFonts w:ascii="Arial" w:hAnsi="Arial"/>
          <w:sz w:val="16"/>
          <w:szCs w:val="16"/>
        </w:rPr>
      </w:pPr>
      <w:r>
        <w:rPr>
          <w:rFonts w:ascii="Arial" w:hAnsi="Arial"/>
          <w:sz w:val="16"/>
          <w:szCs w:val="16"/>
        </w:rPr>
        <w:t>Vid träning och intensiv fysisk aktivitet förlorar kroppen elektrolyter genom svett. Ett tillskott kan därför vara ett praktiskt komplement för dig som vill säkerställa ett balanserat intag av viktiga mineraler som en del av en aktiv livsstil.</w:t>
      </w:r>
    </w:p>
    <w:p>
      <w:pPr>
        <w:pStyle w:val="Brdtext"/>
        <w:rPr/>
      </w:pPr>
      <w:r>
        <w:rPr>
          <w:rStyle w:val="Strong"/>
          <w:rFonts w:ascii="Arial" w:hAnsi="Arial"/>
          <w:sz w:val="16"/>
          <w:szCs w:val="16"/>
        </w:rPr>
        <w:t>Vad är elektrolyter?</w:t>
      </w:r>
      <w:r>
        <w:rPr>
          <w:rFonts w:ascii="Arial" w:hAnsi="Arial"/>
          <w:sz w:val="16"/>
          <w:szCs w:val="16"/>
        </w:rPr>
        <w:br/>
        <w:t>Elektrolyter är mineraler som spelar en central roll för musklernas och nervsystemets normala funktion. För dig som tränar är dessa funktioner särskilt viktiga, eftersom muskelsammandragningar och nervsignaler är avgörande för prestation, styrka och uthållighet.</w:t>
      </w:r>
    </w:p>
    <w:p>
      <w:pPr>
        <w:pStyle w:val="Brdtext"/>
        <w:rPr>
          <w:rFonts w:ascii="Arial" w:hAnsi="Arial"/>
          <w:sz w:val="16"/>
          <w:szCs w:val="16"/>
        </w:rPr>
      </w:pPr>
      <w:r>
        <w:rPr>
          <w:rFonts w:ascii="Arial" w:hAnsi="Arial"/>
          <w:sz w:val="16"/>
          <w:szCs w:val="16"/>
        </w:rPr>
        <w:t>Fairing Elektrolyt innehåller magnesium, kalium och kalcium i citratform – lättlösliga former som passar perfekt i en dryck före, under eller efter träning.</w:t>
      </w:r>
    </w:p>
    <w:p>
      <w:pPr>
        <w:pStyle w:val="Brdtext"/>
        <w:rPr>
          <w:rFonts w:ascii="Arial" w:hAnsi="Arial"/>
          <w:sz w:val="16"/>
          <w:szCs w:val="16"/>
        </w:rPr>
      </w:pPr>
      <w:r>
        <w:rPr>
          <w:rFonts w:ascii="Arial" w:hAnsi="Arial"/>
          <w:sz w:val="16"/>
          <w:szCs w:val="16"/>
        </w:rPr>
        <w:t xml:space="preserve">Produkten innehåller även natrium från guerandiskt havssalt – en elektrolyt som naturligt förloras via svettning och därför är en självklar komponent i en elektrolytdryck i samband med träning. </w:t>
        <w:br/>
      </w:r>
    </w:p>
    <w:p>
      <w:pPr>
        <w:pStyle w:val="Brdtext"/>
        <w:rPr/>
      </w:pPr>
      <w:r>
        <w:rPr>
          <w:rStyle w:val="Strong"/>
          <w:rFonts w:ascii="Arial" w:hAnsi="Arial"/>
          <w:sz w:val="16"/>
          <w:szCs w:val="16"/>
        </w:rPr>
        <w:t>Fördelar med Fairing Elektrolyt:</w:t>
      </w:r>
    </w:p>
    <w:p>
      <w:pPr>
        <w:pStyle w:val="Brdtext"/>
        <w:numPr>
          <w:ilvl w:val="0"/>
          <w:numId w:val="2"/>
        </w:numPr>
        <w:tabs>
          <w:tab w:val="clear" w:pos="1304"/>
          <w:tab w:val="left" w:pos="0" w:leader="none"/>
        </w:tabs>
        <w:ind w:left="709" w:hanging="283"/>
        <w:rPr>
          <w:rFonts w:ascii="Arial" w:hAnsi="Arial"/>
          <w:sz w:val="16"/>
          <w:szCs w:val="16"/>
        </w:rPr>
      </w:pPr>
      <w:r>
        <w:rPr>
          <w:rFonts w:ascii="Arial" w:hAnsi="Arial"/>
          <w:sz w:val="16"/>
          <w:szCs w:val="16"/>
        </w:rPr>
        <w:t xml:space="preserve">Bidrar till normal elektrolytbalans: Magnesium stödjer kroppens normala elektrolytbalans – viktigt vid svettning. </w:t>
      </w:r>
    </w:p>
    <w:p>
      <w:pPr>
        <w:pStyle w:val="Brdtext"/>
        <w:numPr>
          <w:ilvl w:val="0"/>
          <w:numId w:val="3"/>
        </w:numPr>
        <w:tabs>
          <w:tab w:val="clear" w:pos="1304"/>
          <w:tab w:val="left" w:pos="0" w:leader="none"/>
        </w:tabs>
        <w:ind w:left="709" w:hanging="283"/>
        <w:rPr>
          <w:rFonts w:ascii="Arial" w:hAnsi="Arial"/>
          <w:sz w:val="16"/>
          <w:szCs w:val="16"/>
        </w:rPr>
      </w:pPr>
      <w:r>
        <w:rPr>
          <w:rFonts w:ascii="Arial" w:hAnsi="Arial"/>
          <w:sz w:val="16"/>
          <w:szCs w:val="16"/>
        </w:rPr>
        <w:t xml:space="preserve">Bidrar till normal muskelfunktion: Magnesium, kalium och kalcium bidrar till att musklerna fungerar normalt vid fysisk aktivitet. </w:t>
      </w:r>
    </w:p>
    <w:p>
      <w:pPr>
        <w:pStyle w:val="Brdtext"/>
        <w:numPr>
          <w:ilvl w:val="0"/>
          <w:numId w:val="4"/>
        </w:numPr>
        <w:tabs>
          <w:tab w:val="clear" w:pos="1304"/>
          <w:tab w:val="left" w:pos="0" w:leader="none"/>
        </w:tabs>
        <w:ind w:left="709" w:hanging="283"/>
        <w:rPr>
          <w:rFonts w:ascii="Arial" w:hAnsi="Arial"/>
          <w:sz w:val="16"/>
          <w:szCs w:val="16"/>
        </w:rPr>
      </w:pPr>
      <w:r>
        <w:rPr>
          <w:rFonts w:ascii="Arial" w:hAnsi="Arial"/>
          <w:sz w:val="16"/>
          <w:szCs w:val="16"/>
        </w:rPr>
        <w:t xml:space="preserve">Bidrar till nervsystemets normala funktion: Kalium och magnesium stödjer nervsystemets funktion, vilket är avgörande för muskelaktivering. </w:t>
      </w:r>
    </w:p>
    <w:p>
      <w:pPr>
        <w:pStyle w:val="Brdtext"/>
        <w:numPr>
          <w:ilvl w:val="0"/>
          <w:numId w:val="5"/>
        </w:numPr>
        <w:tabs>
          <w:tab w:val="clear" w:pos="1304"/>
          <w:tab w:val="left" w:pos="0" w:leader="none"/>
        </w:tabs>
        <w:ind w:left="709" w:hanging="283"/>
        <w:rPr>
          <w:rFonts w:ascii="Arial" w:hAnsi="Arial"/>
          <w:sz w:val="16"/>
          <w:szCs w:val="16"/>
        </w:rPr>
      </w:pPr>
      <w:r>
        <w:rPr>
          <w:rFonts w:ascii="Arial" w:hAnsi="Arial"/>
          <w:sz w:val="16"/>
          <w:szCs w:val="16"/>
        </w:rPr>
        <w:t xml:space="preserve">Bidrar till att minska trötthet och utmattning: Magnesium bidrar till normal energiomsättning och kan vara ett viktigt stöd vid intensiv träning. </w:t>
      </w:r>
    </w:p>
    <w:p>
      <w:pPr>
        <w:pStyle w:val="Brdtext"/>
        <w:numPr>
          <w:ilvl w:val="0"/>
          <w:numId w:val="6"/>
        </w:numPr>
        <w:tabs>
          <w:tab w:val="clear" w:pos="1304"/>
          <w:tab w:val="left" w:pos="0" w:leader="none"/>
        </w:tabs>
        <w:ind w:left="709" w:hanging="283"/>
        <w:rPr>
          <w:rFonts w:ascii="Arial" w:hAnsi="Arial"/>
          <w:sz w:val="16"/>
          <w:szCs w:val="16"/>
        </w:rPr>
      </w:pPr>
      <w:r>
        <w:rPr>
          <w:rFonts w:ascii="Arial" w:hAnsi="Arial"/>
          <w:sz w:val="16"/>
          <w:szCs w:val="16"/>
        </w:rPr>
        <w:t xml:space="preserve">Lätt att blanda i vatten och använda före, under eller efter träningspasset. </w:t>
      </w:r>
    </w:p>
    <w:p>
      <w:pPr>
        <w:pStyle w:val="Brdtext"/>
        <w:numPr>
          <w:ilvl w:val="0"/>
          <w:numId w:val="7"/>
        </w:numPr>
        <w:tabs>
          <w:tab w:val="clear" w:pos="1304"/>
          <w:tab w:val="left" w:pos="0" w:leader="none"/>
        </w:tabs>
        <w:ind w:left="709" w:hanging="283"/>
        <w:rPr>
          <w:rFonts w:ascii="Arial" w:hAnsi="Arial"/>
          <w:sz w:val="16"/>
          <w:szCs w:val="16"/>
        </w:rPr>
      </w:pPr>
      <w:r>
        <w:rPr>
          <w:rFonts w:ascii="Arial" w:hAnsi="Arial"/>
          <w:sz w:val="16"/>
          <w:szCs w:val="16"/>
        </w:rPr>
        <w:t>Vegansk</w:t>
      </w:r>
    </w:p>
    <w:p>
      <w:pPr>
        <w:pStyle w:val="Rubrik4press"/>
        <w:rPr>
          <w:sz w:val="18"/>
          <w:szCs w:val="18"/>
        </w:rPr>
      </w:pPr>
      <w:r>
        <w:rPr>
          <w:sz w:val="18"/>
          <w:szCs w:val="18"/>
        </w:rPr>
        <w:br/>
      </w:r>
    </w:p>
    <w:p>
      <w:pPr>
        <w:pStyle w:val="Rubrik4press"/>
        <w:rPr>
          <w:sz w:val="18"/>
          <w:szCs w:val="18"/>
        </w:rPr>
      </w:pPr>
      <w:r>
        <w:rPr>
          <w:sz w:val="18"/>
          <w:szCs w:val="18"/>
        </w:rPr>
        <w:t>NETTOVIKT</w:t>
      </w:r>
    </w:p>
    <w:p>
      <w:pPr>
        <w:pStyle w:val="Brdtextpress"/>
        <w:rPr>
          <w:sz w:val="18"/>
          <w:szCs w:val="18"/>
        </w:rPr>
      </w:pPr>
      <w:r>
        <w:rPr>
          <w:rFonts w:cs="Arial"/>
          <w:b w:val="false"/>
          <w:bCs w:val="false"/>
          <w:sz w:val="18"/>
          <w:szCs w:val="18"/>
        </w:rPr>
        <w:t xml:space="preserve">250g ( </w:t>
      </w:r>
      <w:r>
        <w:rPr>
          <w:rFonts w:cs="Arial"/>
          <w:b w:val="false"/>
          <w:bCs w:val="false"/>
          <w:sz w:val="18"/>
          <w:szCs w:val="18"/>
        </w:rPr>
        <w:t>5</w:t>
      </w:r>
      <w:r>
        <w:rPr>
          <w:rFonts w:cs="Arial"/>
          <w:b w:val="false"/>
          <w:bCs w:val="false"/>
          <w:sz w:val="18"/>
          <w:szCs w:val="18"/>
        </w:rPr>
        <w:t>0 serveringar)</w:t>
      </w:r>
    </w:p>
    <w:p>
      <w:pPr>
        <w:pStyle w:val="Rubrik4press"/>
        <w:rPr>
          <w:sz w:val="18"/>
          <w:szCs w:val="18"/>
        </w:rPr>
      </w:pPr>
      <w:r>
        <w:rPr>
          <w:rFonts w:cs="Arial"/>
          <w:b/>
          <w:bCs/>
          <w:sz w:val="18"/>
          <w:szCs w:val="18"/>
        </w:rPr>
        <w:t>DOSERINGSSTORLEK</w:t>
      </w:r>
    </w:p>
    <w:p>
      <w:pPr>
        <w:pStyle w:val="Brdtextpress"/>
        <w:rPr>
          <w:sz w:val="18"/>
          <w:szCs w:val="18"/>
        </w:rPr>
      </w:pPr>
      <w:r>
        <w:rPr>
          <w:rFonts w:cs="Arial"/>
          <w:b w:val="false"/>
          <w:bCs w:val="false"/>
          <w:sz w:val="18"/>
          <w:szCs w:val="18"/>
        </w:rPr>
        <w:t>5g</w:t>
      </w:r>
    </w:p>
    <w:p>
      <w:pPr>
        <w:pStyle w:val="Rubrik4press"/>
        <w:rPr>
          <w:sz w:val="18"/>
          <w:szCs w:val="18"/>
        </w:rPr>
      </w:pPr>
      <w:r>
        <w:rPr>
          <w:sz w:val="18"/>
          <w:szCs w:val="18"/>
        </w:rPr>
        <w:t xml:space="preserve">DOSERING </w:t>
      </w:r>
    </w:p>
    <w:p>
      <w:pPr>
        <w:pStyle w:val="Brdtextpress"/>
        <w:rPr>
          <w:rFonts w:ascii="Arial" w:hAnsi="Arial"/>
          <w:sz w:val="18"/>
          <w:szCs w:val="18"/>
        </w:rPr>
      </w:pPr>
      <w:r>
        <w:rPr>
          <w:rFonts w:cs="Arial"/>
          <w:b w:val="false"/>
          <w:bCs w:val="false"/>
          <w:i w:val="false"/>
          <w:caps w:val="false"/>
          <w:smallCaps w:val="false"/>
          <w:color w:val="auto"/>
          <w:spacing w:val="0"/>
          <w:sz w:val="18"/>
          <w:szCs w:val="18"/>
        </w:rPr>
        <w:t>5g (ca.1skopa) pulver, blandas med  minst 400 ml vatten. Tag 1portion per dag. Överskrid ej rekommenderad dosering.</w:t>
      </w:r>
      <w:r>
        <w:rPr>
          <w:b w:val="false"/>
          <w:i w:val="false"/>
          <w:caps w:val="false"/>
          <w:smallCaps w:val="false"/>
          <w:color w:val="auto"/>
          <w:spacing w:val="0"/>
          <w:sz w:val="18"/>
          <w:szCs w:val="18"/>
        </w:rPr>
        <w:t xml:space="preserve">  </w:t>
      </w:r>
    </w:p>
    <w:p>
      <w:pPr>
        <w:pStyle w:val="Brdtextpress"/>
        <w:rPr>
          <w:sz w:val="18"/>
          <w:szCs w:val="18"/>
        </w:rPr>
      </w:pPr>
      <w:r>
        <w:rPr>
          <w:b/>
          <w:bCs/>
          <w:sz w:val="18"/>
          <w:szCs w:val="18"/>
        </w:rPr>
        <w:br/>
        <w:t xml:space="preserve">INGREDIENSER </w:t>
        <w:br/>
      </w:r>
      <w:r>
        <w:rPr>
          <w:b w:val="false"/>
          <w:bCs w:val="false"/>
          <w:sz w:val="18"/>
          <w:szCs w:val="18"/>
        </w:rPr>
        <w:t>Guerande havssalt ,klumpförebyggande medel: (kalciumsilikat, trikalciumfosfat, kiseldioxid, maltodextrin), surhetsreglerande medel: (äppelsyra), kalium (kaliumcitrat), inulin magnesium (magnesiumcitrat), kalcium (kalciumcitrat), arom (citron), sötningsmedel (sukralos), arom (lime), sötningsmedel (acesulfam K).</w:t>
      </w:r>
      <w:r>
        <w:rPr>
          <w:b w:val="false"/>
          <w:bCs w:val="false"/>
          <w:i w:val="false"/>
          <w:caps w:val="false"/>
          <w:smallCaps w:val="false"/>
          <w:color w:val="auto"/>
          <w:spacing w:val="0"/>
          <w:sz w:val="16"/>
          <w:szCs w:val="16"/>
        </w:rPr>
        <w:t xml:space="preserve"> </w:t>
      </w:r>
      <w:r>
        <w:rPr>
          <w:b w:val="false"/>
          <w:bCs w:val="false"/>
          <w:color w:val="auto"/>
          <w:sz w:val="16"/>
          <w:szCs w:val="16"/>
        </w:rPr>
        <w:t xml:space="preserve"> </w:t>
      </w:r>
    </w:p>
    <w:p>
      <w:pPr>
        <w:pStyle w:val="Brdtextpress"/>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5790" w:type="dxa"/>
        <w:jc w:val="left"/>
        <w:tblInd w:w="-30" w:type="dxa"/>
        <w:tblLayout w:type="fixed"/>
        <w:tblCellMar>
          <w:top w:w="55" w:type="dxa"/>
          <w:left w:w="55" w:type="dxa"/>
          <w:bottom w:w="55" w:type="dxa"/>
          <w:right w:w="55" w:type="dxa"/>
        </w:tblCellMar>
      </w:tblPr>
      <w:tblGrid>
        <w:gridCol w:w="3504"/>
        <w:gridCol w:w="2285"/>
      </w:tblGrid>
      <w:tr>
        <w:trPr>
          <w:trHeight w:val="397" w:hRule="exact"/>
        </w:trPr>
        <w:tc>
          <w:tcPr>
            <w:tcW w:w="3504" w:type="dxa"/>
            <w:tcBorders>
              <w:top w:val="single" w:sz="2" w:space="0" w:color="000000"/>
              <w:left w:val="single" w:sz="2" w:space="0" w:color="000000"/>
              <w:bottom w:val="single" w:sz="2" w:space="0" w:color="000000"/>
            </w:tcBorders>
            <w:shd w:fill="auto" w:val="clear"/>
          </w:tcPr>
          <w:p>
            <w:pPr>
              <w:pStyle w:val="Tabellinnehll"/>
              <w:widowControl w:val="false"/>
              <w:spacing w:before="0" w:after="170"/>
              <w:rPr>
                <w:sz w:val="16"/>
                <w:szCs w:val="16"/>
              </w:rPr>
            </w:pPr>
            <w:r>
              <w:rPr>
                <w:b/>
                <w:bCs/>
                <w:sz w:val="16"/>
                <w:szCs w:val="16"/>
              </w:rPr>
              <w:t>Ingredienser  (mg)</w:t>
            </w:r>
          </w:p>
        </w:tc>
        <w:tc>
          <w:tcPr>
            <w:tcW w:w="2285"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b/>
                <w:bCs/>
                <w:sz w:val="16"/>
                <w:szCs w:val="16"/>
              </w:rPr>
              <w:t>Innehåll er portion (5g)</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Klorid</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1200 *150% av RDI</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Natrium</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800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Kalium</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200 *10% av RDI</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20"/>
                <w:szCs w:val="20"/>
              </w:rPr>
            </w:pPr>
            <w:r>
              <w:rPr>
                <w:sz w:val="16"/>
                <w:szCs w:val="16"/>
              </w:rPr>
              <w:t>Magnesium</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20"/>
                <w:szCs w:val="20"/>
              </w:rPr>
            </w:pPr>
            <w:r>
              <w:rPr>
                <w:sz w:val="16"/>
                <w:szCs w:val="16"/>
              </w:rPr>
              <w:t>60 *16% av RDI</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Kalcium</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50 *6% av RDI</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Fiber</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30</w:t>
            </w:r>
          </w:p>
        </w:tc>
      </w:tr>
    </w:tbl>
    <w:p>
      <w:pPr>
        <w:pStyle w:val="Brdtextpress"/>
        <w:tabs>
          <w:tab w:val="clear" w:pos="1304"/>
          <w:tab w:val="left" w:pos="1005" w:leader="none"/>
        </w:tabs>
        <w:rPr/>
      </w:pPr>
      <w:r>
        <w:rPr>
          <w:rStyle w:val="A5"/>
          <w:rFonts w:cs="Times New Roman" w:ascii="Calibri" w:hAnsi="Calibri"/>
          <w:b w:val="false"/>
          <w:bCs w:val="false"/>
          <w:i/>
          <w:iCs/>
          <w:color w:val="auto"/>
          <w:sz w:val="18"/>
          <w:szCs w:val="18"/>
          <w:lang w:val="sv-SE"/>
        </w:rPr>
        <w:tab/>
        <w:tab/>
        <w:tab/>
        <w:tab/>
        <w:t>* Dagligt referensintag</w:t>
      </w:r>
      <w:r>
        <w:rPr>
          <w:rStyle w:val="Strong"/>
          <w:rFonts w:cs="Times New Roman"/>
          <w:b/>
          <w:bCs/>
          <w:color w:val="auto"/>
          <w:sz w:val="18"/>
          <w:szCs w:val="18"/>
          <w:lang w:val="sv-SE"/>
        </w:rPr>
        <w:br/>
        <w:t>ALLERGENER</w:t>
      </w:r>
      <w:r>
        <w:rPr>
          <w:rStyle w:val="Strong"/>
          <w:rFonts w:cs="Times New Roman"/>
          <w:b w:val="false"/>
          <w:bCs w:val="false"/>
          <w:color w:val="auto"/>
          <w:sz w:val="18"/>
          <w:szCs w:val="18"/>
          <w:lang w:val="sv-SE"/>
        </w:rPr>
        <w:br/>
      </w:r>
      <w:r>
        <w:rPr>
          <w:rStyle w:val="Strong"/>
          <w:rFonts w:cs="Times New Roman"/>
          <w:b w:val="false"/>
          <w:bCs w:val="false"/>
          <w:i w:val="false"/>
          <w:caps w:val="false"/>
          <w:smallCaps w:val="false"/>
          <w:color w:val="auto"/>
          <w:spacing w:val="0"/>
          <w:sz w:val="18"/>
          <w:szCs w:val="18"/>
          <w:lang w:val="sv-SE"/>
        </w:rPr>
        <w:t>-</w:t>
      </w:r>
    </w:p>
    <w:p>
      <w:pPr>
        <w:pStyle w:val="Rubrik4press"/>
        <w:rPr>
          <w:sz w:val="18"/>
          <w:szCs w:val="18"/>
        </w:rPr>
      </w:pPr>
      <w:r>
        <w:rPr>
          <w:sz w:val="18"/>
          <w:szCs w:val="18"/>
        </w:rPr>
        <w:t>FÖRVARING</w:t>
      </w:r>
    </w:p>
    <w:p>
      <w:pPr>
        <w:pStyle w:val="Brdtextpress"/>
        <w:rPr/>
      </w:pPr>
      <w:r>
        <w:rPr>
          <w:rStyle w:val="Strong"/>
          <w:b w:val="false"/>
          <w:bCs w:val="false"/>
          <w:sz w:val="18"/>
          <w:szCs w:val="18"/>
        </w:rPr>
        <w:t>Torrt, svalt, väl förslutet och oåtkomligt för barn.</w:t>
      </w:r>
      <w:r>
        <w:rPr>
          <w:rStyle w:val="Strong"/>
          <w:b w:val="false"/>
          <w:bCs w:val="false"/>
          <w:color w:val="auto"/>
          <w:sz w:val="18"/>
          <w:szCs w:val="18"/>
        </w:rPr>
        <w:t xml:space="preserve"> </w:t>
      </w:r>
    </w:p>
    <w:p>
      <w:pPr>
        <w:pStyle w:val="Rubrik4press"/>
        <w:rPr/>
      </w:pPr>
      <w:r>
        <w:rPr>
          <w:rStyle w:val="Strong"/>
          <w:b/>
          <w:sz w:val="18"/>
          <w:szCs w:val="18"/>
        </w:rPr>
        <w:t xml:space="preserve">KOSTTILLSKOTT </w:t>
      </w:r>
    </w:p>
    <w:p>
      <w:pPr>
        <w:pStyle w:val="Brdtextpress"/>
        <w:rPr>
          <w:sz w:val="18"/>
          <w:szCs w:val="18"/>
        </w:rPr>
      </w:pPr>
      <w:r>
        <w:rPr>
          <w:sz w:val="18"/>
          <w:szCs w:val="18"/>
        </w:rPr>
        <w:t>Rekommenderas ej för barn, gravida eller ammande kvinnor. . Kosttillskott ersätter inte en varierad kost och hälsosam livsstil. Dosering bör ej överskridas</w:t>
      </w:r>
    </w:p>
    <w:p>
      <w:pPr>
        <w:pStyle w:val="Rubrik4press"/>
        <w:rPr>
          <w:b w:val="false"/>
          <w:bCs w:val="false"/>
          <w:sz w:val="16"/>
          <w:szCs w:val="16"/>
        </w:rPr>
      </w:pPr>
      <w:r>
        <w:rPr>
          <w:sz w:val="18"/>
          <w:szCs w:val="18"/>
        </w:rPr>
        <w:t xml:space="preserve">KVALITETSGARANTI </w:t>
        <w:br/>
      </w:r>
      <w:r>
        <w:rPr>
          <w:b w:val="false"/>
          <w:bCs w:val="false"/>
          <w:sz w:val="18"/>
          <w:szCs w:val="18"/>
        </w:rPr>
        <w:t>Producerad i Sverige enligt rådande EU-normer.</w:t>
        <w:br/>
        <w:br/>
        <w:br/>
        <w:br/>
        <w:br/>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Pingstvägen 3   17761 Järfälla,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2026-03-06</w:t>
    </w:r>
  </w:p>
  <w:p>
    <w:pPr>
      <w:pStyle w:val="Sidhuvud"/>
      <w:rPr/>
    </w:pPr>
    <w:r>
      <w:rPr/>
      <w:tab/>
      <w:tab/>
      <w:t>Produktblad: Elektrolyt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character" w:styleId="Betonad">
    <w:name w:val="Emphasis"/>
    <w:qFormat/>
    <w:rPr>
      <w:i/>
      <w:iCs/>
    </w:rPr>
  </w:style>
  <w:style w:type="character" w:styleId="Numreringstecken">
    <w:name w:val="Numreringstecken"/>
    <w:qFormat/>
    <w:rPr/>
  </w:style>
  <w:style w:type="character" w:styleId="Punkter">
    <w:name w:val="Punkter"/>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4089</TotalTime>
  <Application>LibreOffice/7.5.1.2$Windows_X86_64 LibreOffice_project/fcbaee479e84c6cd81291587d2ee68cba099e129</Application>
  <AppVersion>15.0000</AppVersion>
  <Pages>2</Pages>
  <Words>399</Words>
  <Characters>2584</Characters>
  <CharactersWithSpaces>3019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2023-05-15T08:36:21Z</cp:lastPrinted>
  <dcterms:modified xsi:type="dcterms:W3CDTF">2026-05-06T09:49:00Z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