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drawing>
          <wp:anchor behindDoc="0" distT="0" distB="0" distL="0" distR="0" simplePos="0" locked="0" layoutInCell="1" allowOverlap="1" relativeHeight="2">
            <wp:simplePos x="0" y="0"/>
            <wp:positionH relativeFrom="column">
              <wp:posOffset>3864610</wp:posOffset>
            </wp:positionH>
            <wp:positionV relativeFrom="paragraph">
              <wp:posOffset>446405</wp:posOffset>
            </wp:positionV>
            <wp:extent cx="1936115" cy="1936115"/>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2"/>
                    <a:stretch>
                      <a:fillRect/>
                    </a:stretch>
                  </pic:blipFill>
                  <pic:spPr bwMode="auto">
                    <a:xfrm>
                      <a:off x="0" y="0"/>
                      <a:ext cx="1936115" cy="1936115"/>
                    </a:xfrm>
                    <a:prstGeom prst="rect">
                      <a:avLst/>
                    </a:prstGeom>
                  </pic:spPr>
                </pic:pic>
              </a:graphicData>
            </a:graphic>
          </wp:anchor>
        </w:drawing>
      </w:r>
      <w:r>
        <w:rPr>
          <w:rStyle w:val="Starktbetonad"/>
          <w:b/>
          <w:bCs/>
          <w:i w:val="false"/>
          <w:iCs w:val="false"/>
        </w:rPr>
        <w:br/>
      </w:r>
      <w:r>
        <w:rPr>
          <w:rStyle w:val="Starktbetonad"/>
          <w:b/>
          <w:bCs/>
          <w:i w:val="false"/>
          <w:iCs w:val="false"/>
          <w:lang w:val="en-US"/>
        </w:rPr>
        <w:t xml:space="preserve">Complete Vitamin &amp; Mineral, </w:t>
      </w:r>
      <w:r>
        <w:rPr>
          <w:rStyle w:val="Starktbetonad"/>
          <w:b w:val="false"/>
          <w:bCs w:val="false"/>
          <w:i w:val="false"/>
          <w:iCs w:val="false"/>
          <w:lang w:val="en-US"/>
        </w:rPr>
        <w:t xml:space="preserve">60 </w:t>
      </w:r>
      <w:r>
        <w:rPr>
          <w:rStyle w:val="Starktbetonad"/>
          <w:b w:val="false"/>
          <w:bCs w:val="false"/>
          <w:i w:val="false"/>
          <w:iCs w:val="false"/>
        </w:rPr>
        <w:t>tabs</w:t>
      </w:r>
    </w:p>
    <w:p>
      <w:pPr>
        <w:pStyle w:val="Rubrik2press"/>
        <w:jc w:val="left"/>
        <w:rPr>
          <w:rStyle w:val="Starktbetonad"/>
          <w:b w:val="false"/>
          <w:b w:val="false"/>
          <w:bCs w:val="false"/>
          <w:sz w:val="20"/>
          <w:szCs w:val="20"/>
        </w:rPr>
      </w:pPr>
      <w:r>
        <w:rPr/>
      </w:r>
    </w:p>
    <w:p>
      <w:pPr>
        <w:pStyle w:val="Brdtextpress"/>
        <w:rPr/>
      </w:pPr>
      <w:r>
        <w:rPr>
          <w:rStyle w:val="Starktbetonad"/>
        </w:rPr>
        <w:br/>
      </w:r>
    </w:p>
    <w:p>
      <w:pPr>
        <w:pStyle w:val="Brdtextpress"/>
        <w:rPr>
          <w:rStyle w:val="Starktbetonad"/>
          <w:sz w:val="20"/>
          <w:szCs w:val="20"/>
        </w:rPr>
      </w:pPr>
      <w:r>
        <w:rPr>
          <w:sz w:val="20"/>
          <w:szCs w:val="20"/>
        </w:rPr>
      </w:r>
    </w:p>
    <w:p>
      <w:pPr>
        <w:pStyle w:val="Brdtextpress"/>
        <w:rPr>
          <w:rStyle w:val="Starktbetonad"/>
          <w:sz w:val="20"/>
          <w:szCs w:val="20"/>
        </w:rPr>
      </w:pPr>
      <w:r>
        <w:rPr>
          <w:sz w:val="20"/>
          <w:szCs w:val="20"/>
        </w:rPr>
      </w:r>
    </w:p>
    <w:p>
      <w:pPr>
        <w:pStyle w:val="Brdtextpress"/>
        <w:rPr>
          <w:rStyle w:val="Starktbetonad"/>
          <w:sz w:val="20"/>
          <w:szCs w:val="20"/>
        </w:rPr>
      </w:pPr>
      <w:r>
        <w:rPr>
          <w:sz w:val="20"/>
          <w:szCs w:val="20"/>
        </w:rPr>
      </w:r>
    </w:p>
    <w:p>
      <w:pPr>
        <w:pStyle w:val="Brdtextpress"/>
        <w:rPr/>
      </w:pPr>
      <w:r>
        <w:rPr>
          <w:rStyle w:val="Starktbetonad"/>
          <w:sz w:val="20"/>
          <w:szCs w:val="20"/>
          <w:lang w:val="en-US"/>
        </w:rPr>
        <w:t>FAIRING Complete Vitamin &amp; Mineral – The</w:t>
      </w:r>
      <w:r>
        <w:rPr>
          <w:rStyle w:val="Starktbetonad"/>
          <w:b w:val="false"/>
          <w:i w:val="false"/>
          <w:caps w:val="false"/>
          <w:smallCaps w:val="false"/>
          <w:color w:val="333333"/>
          <w:spacing w:val="0"/>
          <w:sz w:val="20"/>
          <w:szCs w:val="20"/>
          <w:lang w:val="en-US"/>
        </w:rPr>
        <w:t xml:space="preserve"> easiest way to ensure your body is getting the essential vitamins, minerals, and nutrients you need to stay healthy.</w:t>
      </w:r>
      <w:r>
        <w:rPr>
          <w:rStyle w:val="Starktbetonad"/>
          <w:sz w:val="20"/>
          <w:szCs w:val="20"/>
          <w:lang w:val="en-US"/>
        </w:rPr>
        <w:t xml:space="preserve"> </w:t>
      </w:r>
      <w:r>
        <w:rPr>
          <w:rStyle w:val="Starktbetonad"/>
          <w:b w:val="false"/>
          <w:bCs w:val="false"/>
          <w:sz w:val="20"/>
          <w:szCs w:val="20"/>
          <w:lang w:val="en-US"/>
        </w:rPr>
        <w:t xml:space="preserve"> </w:t>
      </w:r>
    </w:p>
    <w:p>
      <w:pPr>
        <w:pStyle w:val="Brdtextpress"/>
        <w:rPr>
          <w:sz w:val="20"/>
          <w:szCs w:val="20"/>
        </w:rPr>
      </w:pPr>
      <w:r>
        <w:rPr>
          <w:b w:val="false"/>
          <w:i w:val="false"/>
          <w:caps w:val="false"/>
          <w:smallCaps w:val="false"/>
          <w:color w:val="0F1111"/>
          <w:spacing w:val="0"/>
          <w:sz w:val="20"/>
          <w:szCs w:val="20"/>
          <w:lang w:val="en-US"/>
        </w:rPr>
        <w:t>Support immune health with vitamins C &amp; D - Vitamin C is associated with immune system health, which may be due to its ability to scavenge free radicals and protect against oxidative stress, as well as its stimulation of the production and function of white blood cells. Vitamin D supports immune system health, bone health and more. Suitable for vegans &amp; vegetarians.</w:t>
      </w:r>
      <w:r>
        <w:rPr>
          <w:sz w:val="20"/>
          <w:szCs w:val="20"/>
          <w:lang w:val="en-US"/>
        </w:rPr>
        <w:t xml:space="preserve"> </w:t>
        <w:br/>
      </w:r>
    </w:p>
    <w:p>
      <w:pPr>
        <w:pStyle w:val="Rubrik4press"/>
        <w:rPr>
          <w:rFonts w:cs="Arial"/>
          <w:b/>
          <w:b/>
          <w:bCs/>
          <w:lang w:val="en-US"/>
        </w:rPr>
      </w:pPr>
      <w:r>
        <w:rPr>
          <w:rFonts w:cs="Arial"/>
          <w:b/>
          <w:bCs/>
          <w:lang w:val="en-US"/>
        </w:rPr>
      </w:r>
    </w:p>
    <w:p>
      <w:pPr>
        <w:pStyle w:val="Rubrik4press"/>
        <w:rPr>
          <w:rFonts w:cs="Arial"/>
          <w:b/>
          <w:b/>
          <w:bCs/>
          <w:lang w:val="en-US"/>
        </w:rPr>
      </w:pPr>
      <w:r>
        <w:rPr>
          <w:rFonts w:cs="Arial"/>
          <w:b/>
          <w:bCs/>
          <w:lang w:val="en-US"/>
        </w:rPr>
      </w:r>
    </w:p>
    <w:p>
      <w:pPr>
        <w:pStyle w:val="Rubrik4press"/>
        <w:rPr>
          <w:rFonts w:cs="Arial"/>
          <w:b/>
          <w:b/>
          <w:bCs/>
          <w:lang w:val="en-US"/>
        </w:rPr>
      </w:pPr>
      <w:r>
        <w:rPr>
          <w:rFonts w:cs="Arial"/>
          <w:b/>
          <w:bCs/>
          <w:lang w:val="en-US"/>
        </w:rPr>
      </w:r>
    </w:p>
    <w:p>
      <w:pPr>
        <w:pStyle w:val="Rubrik4press"/>
        <w:rPr>
          <w:sz w:val="20"/>
          <w:szCs w:val="20"/>
        </w:rPr>
      </w:pPr>
      <w:r>
        <w:rPr>
          <w:rFonts w:cs="Arial"/>
          <w:b/>
          <w:bCs/>
          <w:sz w:val="20"/>
          <w:szCs w:val="20"/>
          <w:lang w:val="en-US"/>
        </w:rPr>
        <w:t>SERVINGS PER CONTAINER</w:t>
      </w:r>
      <w:r>
        <w:rPr>
          <w:rFonts w:cs="Arial"/>
          <w:b w:val="false"/>
          <w:bCs w:val="false"/>
          <w:sz w:val="20"/>
          <w:szCs w:val="20"/>
          <w:lang w:val="en-US"/>
        </w:rPr>
        <w:br/>
      </w:r>
      <w:r>
        <w:rPr>
          <w:rFonts w:cs="Arial"/>
          <w:b w:val="false"/>
          <w:bCs w:val="false"/>
          <w:sz w:val="18"/>
          <w:szCs w:val="18"/>
          <w:lang w:val="en-US"/>
        </w:rPr>
        <w:t xml:space="preserve">60 </w:t>
      </w:r>
      <w:r>
        <w:rPr>
          <w:rFonts w:cs="Arial"/>
          <w:b/>
          <w:bCs/>
          <w:sz w:val="20"/>
          <w:szCs w:val="20"/>
          <w:lang w:val="en-US"/>
        </w:rPr>
        <w:br/>
      </w:r>
    </w:p>
    <w:p>
      <w:pPr>
        <w:pStyle w:val="Rubrik4press"/>
        <w:rPr>
          <w:sz w:val="20"/>
          <w:szCs w:val="20"/>
        </w:rPr>
      </w:pPr>
      <w:r>
        <w:rPr>
          <w:rFonts w:cs="Arial"/>
          <w:b/>
          <w:bCs/>
          <w:sz w:val="20"/>
          <w:szCs w:val="20"/>
          <w:lang w:val="en-US"/>
        </w:rPr>
        <w:t>SERVING SIZE</w:t>
      </w:r>
    </w:p>
    <w:p>
      <w:pPr>
        <w:pStyle w:val="Brdtextpress"/>
        <w:rPr>
          <w:sz w:val="20"/>
          <w:szCs w:val="20"/>
        </w:rPr>
      </w:pPr>
      <w:r>
        <w:rPr>
          <w:rFonts w:cs="Arial"/>
          <w:b w:val="false"/>
          <w:bCs w:val="false"/>
          <w:sz w:val="18"/>
          <w:szCs w:val="18"/>
          <w:lang w:val="en-US"/>
        </w:rPr>
        <w:t>1 tablet a day</w:t>
      </w:r>
      <w:r>
        <w:rPr>
          <w:rFonts w:cs="Arial"/>
          <w:b w:val="false"/>
          <w:bCs w:val="false"/>
          <w:sz w:val="20"/>
          <w:szCs w:val="20"/>
          <w:lang w:val="en-US"/>
        </w:rPr>
        <w:br/>
      </w:r>
    </w:p>
    <w:p>
      <w:pPr>
        <w:pStyle w:val="Rubrik4press"/>
        <w:rPr>
          <w:sz w:val="20"/>
          <w:szCs w:val="20"/>
        </w:rPr>
      </w:pPr>
      <w:r>
        <w:rPr>
          <w:sz w:val="20"/>
          <w:szCs w:val="20"/>
          <w:lang w:val="en-US"/>
        </w:rPr>
        <w:t xml:space="preserve">DIRECTIONS </w:t>
      </w:r>
    </w:p>
    <w:p>
      <w:pPr>
        <w:pStyle w:val="Brdtextpress"/>
        <w:rPr/>
      </w:pPr>
      <w:r>
        <w:rPr>
          <w:rStyle w:val="A5"/>
          <w:rFonts w:cs="Times New Roman" w:ascii="Arial" w:hAnsi="Arial"/>
          <w:b w:val="false"/>
          <w:bCs w:val="false"/>
          <w:i w:val="false"/>
          <w:iCs w:val="false"/>
          <w:sz w:val="18"/>
          <w:szCs w:val="18"/>
          <w:lang w:val="en-US"/>
        </w:rPr>
        <w:t>1 tablet daily, preferably with a meal. Do not exceed 2 tablets/day.</w:t>
      </w:r>
    </w:p>
    <w:p>
      <w:pPr>
        <w:pStyle w:val="Tabellfrteckningrubrik"/>
        <w:rPr>
          <w:rFonts w:ascii="Times;Times New Roman" w:hAnsi="Times;Times New Roman" w:cs="Times;Times New Roman"/>
          <w:b/>
          <w:b/>
          <w:bCs/>
          <w:caps/>
          <w:lang w:val="en-US"/>
        </w:rPr>
      </w:pPr>
      <w:r>
        <w:rPr>
          <w:rFonts w:cs="Times;Times New Roman" w:ascii="Times;Times New Roman" w:hAnsi="Times;Times New Roman"/>
          <w:b/>
          <w:bCs/>
          <w:caps/>
          <w:lang w:val="en-US"/>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Arial" w:hAnsi="Arial"/>
          <w:sz w:val="20"/>
          <w:szCs w:val="20"/>
        </w:rPr>
      </w:pPr>
      <w:r>
        <w:rPr>
          <w:rFonts w:cs="Times;Times New Roman" w:ascii="Arial" w:hAnsi="Arial"/>
          <w:b/>
          <w:bCs/>
          <w:caps/>
          <w:sz w:val="20"/>
          <w:szCs w:val="20"/>
          <w:lang w:val="sv-SE"/>
        </w:rPr>
        <w:t>SUPPLEMENT FACTS</w:t>
      </w:r>
    </w:p>
    <w:tbl>
      <w:tblPr>
        <w:tblW w:w="4365" w:type="dxa"/>
        <w:jc w:val="left"/>
        <w:tblInd w:w="-30" w:type="dxa"/>
        <w:tblCellMar>
          <w:top w:w="55" w:type="dxa"/>
          <w:left w:w="55" w:type="dxa"/>
          <w:bottom w:w="55" w:type="dxa"/>
          <w:right w:w="55" w:type="dxa"/>
        </w:tblCellMar>
      </w:tblPr>
      <w:tblGrid>
        <w:gridCol w:w="2385"/>
        <w:gridCol w:w="1019"/>
        <w:gridCol w:w="961"/>
      </w:tblGrid>
      <w:tr>
        <w:trPr>
          <w:trHeight w:val="369" w:hRule="exact"/>
        </w:trPr>
        <w:tc>
          <w:tcPr>
            <w:tcW w:w="2385" w:type="dxa"/>
            <w:tcBorders>
              <w:top w:val="single" w:sz="2" w:space="0" w:color="000000"/>
              <w:left w:val="single" w:sz="2" w:space="0" w:color="000000"/>
              <w:bottom w:val="single" w:sz="2" w:space="0" w:color="000000"/>
            </w:tcBorders>
            <w:shd w:fill="auto" w:val="clear"/>
          </w:tcPr>
          <w:p>
            <w:pPr>
              <w:pStyle w:val="Tabellinnehll"/>
              <w:spacing w:before="0" w:after="170"/>
              <w:rPr/>
            </w:pPr>
            <w:r>
              <w:rPr>
                <w:b/>
                <w:bCs/>
                <w:sz w:val="16"/>
                <w:szCs w:val="16"/>
              </w:rPr>
              <w:t>Amount</w:t>
            </w:r>
          </w:p>
        </w:tc>
        <w:tc>
          <w:tcPr>
            <w:tcW w:w="1019" w:type="dxa"/>
            <w:tcBorders>
              <w:top w:val="single" w:sz="2" w:space="0" w:color="000000"/>
              <w:left w:val="single" w:sz="2" w:space="0" w:color="000000"/>
              <w:bottom w:val="single" w:sz="2" w:space="0" w:color="000000"/>
            </w:tcBorders>
            <w:shd w:fill="auto" w:val="clear"/>
          </w:tcPr>
          <w:p>
            <w:pPr>
              <w:pStyle w:val="Tabellinnehll"/>
              <w:spacing w:before="0" w:after="170"/>
              <w:rPr/>
            </w:pPr>
            <w:r>
              <w:rPr>
                <w:b/>
                <w:bCs/>
                <w:sz w:val="16"/>
                <w:szCs w:val="16"/>
              </w:rPr>
              <w:t>Per servering</w:t>
            </w:r>
          </w:p>
        </w:tc>
        <w:tc>
          <w:tcPr>
            <w:tcW w:w="961"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b/>
                <w:b/>
                <w:bCs/>
                <w:sz w:val="16"/>
                <w:szCs w:val="16"/>
              </w:rPr>
            </w:pPr>
            <w:r>
              <w:rPr>
                <w:b/>
                <w:bCs/>
                <w:sz w:val="16"/>
                <w:szCs w:val="16"/>
              </w:rPr>
              <w:t>RDI*</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Vitamin A (Beta Carotene)</w:t>
            </w:r>
          </w:p>
        </w:tc>
        <w:tc>
          <w:tcPr>
            <w:tcW w:w="1019"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 xml:space="preserve">833 </w:t>
            </w:r>
            <w:r>
              <w:rPr>
                <w:rFonts w:ascii="Source sans pro;serif" w:hAnsi="Source sans pro;serif"/>
                <w:b w:val="false"/>
                <w:i w:val="false"/>
                <w:caps w:val="false"/>
                <w:smallCaps w:val="false"/>
                <w:color w:val="000000"/>
                <w:spacing w:val="0"/>
                <w:sz w:val="16"/>
                <w:szCs w:val="16"/>
              </w:rPr>
              <w:t>ug</w:t>
            </w:r>
          </w:p>
          <w:p>
            <w:pPr>
              <w:pStyle w:val="Normal"/>
              <w:spacing w:before="0" w:after="170"/>
              <w:rPr>
                <w:sz w:val="16"/>
                <w:szCs w:val="16"/>
              </w:rPr>
            </w:pPr>
            <w:r>
              <w:rPr>
                <w:sz w:val="16"/>
                <w:szCs w:val="16"/>
              </w:rPr>
            </w:r>
          </w:p>
        </w:tc>
        <w:tc>
          <w:tcPr>
            <w:tcW w:w="961"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104%</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jc w:val="left"/>
              <w:rPr/>
            </w:pPr>
            <w:r>
              <w:rPr>
                <w:sz w:val="16"/>
                <w:szCs w:val="16"/>
              </w:rPr>
              <w:t>Vitamin B1 (Thiamin)</w:t>
            </w:r>
          </w:p>
        </w:tc>
        <w:tc>
          <w:tcPr>
            <w:tcW w:w="1019"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6,25 mg</w:t>
            </w:r>
          </w:p>
        </w:tc>
        <w:tc>
          <w:tcPr>
            <w:tcW w:w="961"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568%</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jc w:val="left"/>
              <w:rPr/>
            </w:pPr>
            <w:r>
              <w:rPr>
                <w:sz w:val="16"/>
                <w:szCs w:val="16"/>
              </w:rPr>
              <w:t>Vitamin B2 (Riboflavin)</w:t>
            </w:r>
          </w:p>
        </w:tc>
        <w:tc>
          <w:tcPr>
            <w:tcW w:w="1019"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6,25 mg</w:t>
            </w:r>
          </w:p>
        </w:tc>
        <w:tc>
          <w:tcPr>
            <w:tcW w:w="961"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446%</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 xml:space="preserve">Vitamin </w:t>
            </w:r>
            <w:r>
              <w:rPr>
                <w:sz w:val="16"/>
                <w:szCs w:val="16"/>
                <w:vertAlign w:val="subscript"/>
              </w:rPr>
              <w:t>B3</w:t>
            </w:r>
            <w:r>
              <w:rPr>
                <w:sz w:val="16"/>
                <w:szCs w:val="16"/>
              </w:rPr>
              <w:t xml:space="preserve">  (Niacin)</w:t>
            </w:r>
          </w:p>
        </w:tc>
        <w:tc>
          <w:tcPr>
            <w:tcW w:w="1019" w:type="dxa"/>
            <w:tcBorders>
              <w:left w:val="single" w:sz="2" w:space="0" w:color="000000"/>
              <w:bottom w:val="single" w:sz="2" w:space="0" w:color="000000"/>
            </w:tcBorders>
            <w:shd w:fill="auto" w:val="clear"/>
          </w:tcPr>
          <w:p>
            <w:pPr>
              <w:pStyle w:val="Normal"/>
              <w:spacing w:before="0" w:after="170"/>
              <w:rPr>
                <w:sz w:val="16"/>
                <w:szCs w:val="16"/>
              </w:rPr>
            </w:pPr>
            <w:r>
              <w:rPr>
                <w:sz w:val="16"/>
                <w:szCs w:val="16"/>
              </w:rPr>
              <w:t>25 mg</w:t>
            </w:r>
          </w:p>
        </w:tc>
        <w:tc>
          <w:tcPr>
            <w:tcW w:w="961" w:type="dxa"/>
            <w:tcBorders>
              <w:left w:val="single" w:sz="2" w:space="0" w:color="000000"/>
              <w:bottom w:val="single" w:sz="2" w:space="0" w:color="000000"/>
              <w:right w:val="single" w:sz="2" w:space="0" w:color="000000"/>
            </w:tcBorders>
            <w:shd w:fill="auto" w:val="clear"/>
          </w:tcPr>
          <w:p>
            <w:pPr>
              <w:pStyle w:val="Normal"/>
              <w:spacing w:before="0" w:after="170"/>
              <w:rPr>
                <w:sz w:val="16"/>
                <w:szCs w:val="16"/>
              </w:rPr>
            </w:pPr>
            <w:r>
              <w:rPr>
                <w:sz w:val="16"/>
                <w:szCs w:val="16"/>
              </w:rPr>
              <w:t>156%</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jc w:val="left"/>
              <w:rPr>
                <w:sz w:val="16"/>
                <w:szCs w:val="16"/>
              </w:rPr>
            </w:pPr>
            <w:r>
              <w:rPr>
                <w:sz w:val="16"/>
                <w:szCs w:val="16"/>
              </w:rPr>
              <w:t xml:space="preserve">Vitamin </w:t>
            </w:r>
            <w:r>
              <w:rPr>
                <w:b/>
                <w:bCs/>
                <w:sz w:val="16"/>
                <w:szCs w:val="16"/>
                <w:vertAlign w:val="subscript"/>
              </w:rPr>
              <w:t>B5</w:t>
            </w:r>
            <w:r>
              <w:rPr>
                <w:sz w:val="16"/>
                <w:szCs w:val="16"/>
              </w:rPr>
              <w:t xml:space="preserve"> (Pantotenic  acid)</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6,25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104%</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jc w:val="left"/>
              <w:rPr/>
            </w:pPr>
            <w:r>
              <w:rPr>
                <w:sz w:val="16"/>
                <w:szCs w:val="16"/>
              </w:rPr>
              <w:t xml:space="preserve">Vitamin </w:t>
            </w:r>
            <w:r>
              <w:rPr>
                <w:sz w:val="16"/>
                <w:szCs w:val="16"/>
                <w:vertAlign w:val="subscript"/>
              </w:rPr>
              <w:t>B6</w:t>
            </w:r>
            <w:r>
              <w:rPr>
                <w:sz w:val="16"/>
                <w:szCs w:val="16"/>
              </w:rPr>
              <w:t xml:space="preserve"> (Pyrodoxine)</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6,25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446%</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Vitamin </w:t>
            </w:r>
            <w:r>
              <w:rPr>
                <w:sz w:val="16"/>
                <w:szCs w:val="16"/>
                <w:vertAlign w:val="subscript"/>
              </w:rPr>
              <w:t>B8</w:t>
            </w:r>
            <w:r>
              <w:rPr>
                <w:sz w:val="16"/>
                <w:szCs w:val="16"/>
              </w:rPr>
              <w:t xml:space="preserve"> (Biotin)</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75 </w:t>
            </w:r>
            <w:r>
              <w:rPr>
                <w:rFonts w:ascii="Source sans pro;serif" w:hAnsi="Source sans pro;serif"/>
                <w:b w:val="false"/>
                <w:i w:val="false"/>
                <w:caps w:val="false"/>
                <w:smallCaps w:val="false"/>
                <w:color w:val="000000"/>
                <w:spacing w:val="0"/>
                <w:sz w:val="16"/>
                <w:szCs w:val="16"/>
              </w:rPr>
              <w:t>ug</w:t>
            </w:r>
          </w:p>
          <w:p>
            <w:pPr>
              <w:pStyle w:val="Tabellinnehll"/>
              <w:spacing w:before="0" w:after="170"/>
              <w:rPr>
                <w:sz w:val="16"/>
                <w:szCs w:val="16"/>
              </w:rPr>
            </w:pPr>
            <w:r>
              <w:rPr>
                <w:sz w:val="16"/>
                <w:szCs w:val="16"/>
              </w:rPr>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150%</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Vitamin </w:t>
            </w:r>
            <w:r>
              <w:rPr>
                <w:sz w:val="16"/>
                <w:szCs w:val="16"/>
                <w:vertAlign w:val="subscript"/>
              </w:rPr>
              <w:t>B9</w:t>
            </w:r>
            <w:r>
              <w:rPr>
                <w:sz w:val="16"/>
                <w:szCs w:val="16"/>
              </w:rPr>
              <w:t xml:space="preserve"> (Folic Acid)</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400 </w:t>
            </w:r>
            <w:r>
              <w:rPr>
                <w:rFonts w:ascii="Source sans pro;serif" w:hAnsi="Source sans pro;serif"/>
                <w:b w:val="false"/>
                <w:i w:val="false"/>
                <w:caps w:val="false"/>
                <w:smallCaps w:val="false"/>
                <w:color w:val="000000"/>
                <w:spacing w:val="0"/>
                <w:sz w:val="16"/>
                <w:szCs w:val="16"/>
              </w:rPr>
              <w:t>ug</w:t>
            </w:r>
          </w:p>
          <w:p>
            <w:pPr>
              <w:pStyle w:val="Tabellinnehll"/>
              <w:spacing w:before="0" w:after="170"/>
              <w:rPr>
                <w:sz w:val="16"/>
                <w:szCs w:val="16"/>
              </w:rPr>
            </w:pPr>
            <w:r>
              <w:rPr>
                <w:sz w:val="16"/>
                <w:szCs w:val="16"/>
              </w:rPr>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200%</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Vitamin B12 (Cobalamine)</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12,5 </w:t>
            </w:r>
            <w:r>
              <w:rPr>
                <w:rFonts w:ascii="Source sans pro;serif" w:hAnsi="Source sans pro;serif"/>
                <w:b w:val="false"/>
                <w:i w:val="false"/>
                <w:caps w:val="false"/>
                <w:smallCaps w:val="false"/>
                <w:color w:val="000000"/>
                <w:spacing w:val="0"/>
                <w:sz w:val="16"/>
                <w:szCs w:val="16"/>
              </w:rPr>
              <w:t>ug</w:t>
            </w:r>
          </w:p>
          <w:p>
            <w:pPr>
              <w:pStyle w:val="Tabellinnehll"/>
              <w:spacing w:before="0" w:after="170"/>
              <w:rPr>
                <w:sz w:val="16"/>
                <w:szCs w:val="16"/>
              </w:rPr>
            </w:pPr>
            <w:r>
              <w:rPr>
                <w:sz w:val="16"/>
                <w:szCs w:val="16"/>
              </w:rPr>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500%</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Vitamin C</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250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313%</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Vitamin D</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5 </w:t>
            </w:r>
            <w:r>
              <w:rPr>
                <w:rFonts w:ascii="Source sans pro;serif" w:hAnsi="Source sans pro;serif"/>
                <w:b w:val="false"/>
                <w:i w:val="false"/>
                <w:caps w:val="false"/>
                <w:smallCaps w:val="false"/>
                <w:color w:val="000000"/>
                <w:spacing w:val="0"/>
                <w:sz w:val="16"/>
                <w:szCs w:val="16"/>
              </w:rPr>
              <w:t>ug</w:t>
            </w:r>
          </w:p>
          <w:p>
            <w:pPr>
              <w:pStyle w:val="Tabellinnehll"/>
              <w:spacing w:before="0" w:after="170"/>
              <w:rPr>
                <w:sz w:val="16"/>
                <w:szCs w:val="16"/>
              </w:rPr>
            </w:pPr>
            <w:r>
              <w:rPr>
                <w:sz w:val="16"/>
                <w:szCs w:val="16"/>
              </w:rPr>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100%</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Vitamin E</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74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617%</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Vitamin P (Bioflavonoid)</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Betaine HCL</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20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Choline</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12,5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Paba</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12,5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Iodine</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150 </w:t>
            </w:r>
            <w:r>
              <w:rPr>
                <w:rFonts w:ascii="Source sans pro;serif" w:hAnsi="Source sans pro;serif"/>
                <w:b w:val="false"/>
                <w:i w:val="false"/>
                <w:caps w:val="false"/>
                <w:smallCaps w:val="false"/>
                <w:color w:val="000000"/>
                <w:spacing w:val="0"/>
                <w:sz w:val="16"/>
                <w:szCs w:val="16"/>
              </w:rPr>
              <w:t>ug</w:t>
            </w:r>
          </w:p>
          <w:p>
            <w:pPr>
              <w:pStyle w:val="Tabellinnehll"/>
              <w:spacing w:before="0" w:after="170"/>
              <w:rPr>
                <w:sz w:val="16"/>
                <w:szCs w:val="16"/>
              </w:rPr>
            </w:pPr>
            <w:r>
              <w:rPr>
                <w:sz w:val="16"/>
                <w:szCs w:val="16"/>
              </w:rPr>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100%</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Iron</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7,5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54%</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Calcium</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125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16%</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Potassium</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1,3%</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Copper</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1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100%</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Chromium</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25 </w:t>
            </w:r>
            <w:r>
              <w:rPr>
                <w:rFonts w:ascii="Source sans pro;serif" w:hAnsi="Source sans pro;serif"/>
                <w:b w:val="false"/>
                <w:i w:val="false"/>
                <w:caps w:val="false"/>
                <w:smallCaps w:val="false"/>
                <w:color w:val="000000"/>
                <w:spacing w:val="0"/>
                <w:sz w:val="16"/>
                <w:szCs w:val="16"/>
              </w:rPr>
              <w:t>ug</w:t>
            </w:r>
          </w:p>
          <w:p>
            <w:pPr>
              <w:pStyle w:val="Tabellinnehll"/>
              <w:spacing w:before="0" w:after="170"/>
              <w:rPr>
                <w:sz w:val="16"/>
                <w:szCs w:val="16"/>
              </w:rPr>
            </w:pPr>
            <w:r>
              <w:rPr>
                <w:sz w:val="16"/>
                <w:szCs w:val="16"/>
              </w:rPr>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63%</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Magnesium</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125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33%</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Manganese</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125%</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Sodium</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0,025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50%</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Selenium</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 xml:space="preserve">25 </w:t>
            </w:r>
            <w:r>
              <w:rPr>
                <w:rFonts w:ascii="Source sans pro;serif" w:hAnsi="Source sans pro;serif"/>
                <w:b w:val="false"/>
                <w:i w:val="false"/>
                <w:caps w:val="false"/>
                <w:smallCaps w:val="false"/>
                <w:color w:val="000000"/>
                <w:spacing w:val="0"/>
                <w:sz w:val="16"/>
                <w:szCs w:val="16"/>
              </w:rPr>
              <w:t>ug</w:t>
            </w:r>
          </w:p>
          <w:p>
            <w:pPr>
              <w:pStyle w:val="Tabellinnehll"/>
              <w:spacing w:before="0" w:after="170"/>
              <w:rPr>
                <w:sz w:val="16"/>
                <w:szCs w:val="16"/>
              </w:rPr>
            </w:pPr>
            <w:r>
              <w:rPr>
                <w:sz w:val="16"/>
                <w:szCs w:val="16"/>
              </w:rPr>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45%</w:t>
            </w:r>
          </w:p>
        </w:tc>
      </w:tr>
      <w:tr>
        <w:trPr>
          <w:trHeight w:val="369" w:hRule="exact"/>
        </w:trPr>
        <w:tc>
          <w:tcPr>
            <w:tcW w:w="2385" w:type="dxa"/>
            <w:tcBorders>
              <w:left w:val="single" w:sz="2" w:space="0" w:color="000000"/>
              <w:bottom w:val="single" w:sz="2" w:space="0" w:color="000000"/>
            </w:tcBorders>
            <w:shd w:fill="auto" w:val="clear"/>
          </w:tcPr>
          <w:p>
            <w:pPr>
              <w:pStyle w:val="Tabellinnehll"/>
              <w:spacing w:before="0" w:after="170"/>
              <w:rPr/>
            </w:pPr>
            <w:r>
              <w:rPr>
                <w:sz w:val="16"/>
                <w:szCs w:val="16"/>
              </w:rPr>
              <w:t>Zink</w:t>
            </w:r>
          </w:p>
        </w:tc>
        <w:tc>
          <w:tcPr>
            <w:tcW w:w="1019" w:type="dxa"/>
            <w:tcBorders>
              <w:left w:val="single" w:sz="2" w:space="0" w:color="000000"/>
              <w:bottom w:val="single" w:sz="2" w:space="0" w:color="000000"/>
            </w:tcBorders>
            <w:shd w:fill="auto" w:val="clear"/>
          </w:tcPr>
          <w:p>
            <w:pPr>
              <w:pStyle w:val="Tabellinnehll"/>
              <w:spacing w:before="0" w:after="170"/>
              <w:rPr>
                <w:sz w:val="16"/>
                <w:szCs w:val="16"/>
              </w:rPr>
            </w:pPr>
            <w:r>
              <w:rPr>
                <w:sz w:val="16"/>
                <w:szCs w:val="16"/>
              </w:rPr>
              <w:t>7,5 mg</w:t>
            </w:r>
          </w:p>
        </w:tc>
        <w:tc>
          <w:tcPr>
            <w:tcW w:w="961" w:type="dxa"/>
            <w:tcBorders>
              <w:left w:val="single" w:sz="2" w:space="0" w:color="000000"/>
              <w:bottom w:val="single" w:sz="2" w:space="0" w:color="000000"/>
              <w:right w:val="single" w:sz="2" w:space="0" w:color="000000"/>
            </w:tcBorders>
            <w:shd w:fill="auto" w:val="clear"/>
          </w:tcPr>
          <w:p>
            <w:pPr>
              <w:pStyle w:val="Tabellinnehll"/>
              <w:spacing w:before="0" w:after="170"/>
              <w:rPr>
                <w:sz w:val="16"/>
                <w:szCs w:val="16"/>
              </w:rPr>
            </w:pPr>
            <w:r>
              <w:rPr>
                <w:sz w:val="16"/>
                <w:szCs w:val="16"/>
              </w:rPr>
              <w:t>75%</w:t>
            </w:r>
          </w:p>
        </w:tc>
      </w:tr>
    </w:tbl>
    <w:p>
      <w:pPr>
        <w:pStyle w:val="Rubrik4press"/>
        <w:rPr>
          <w:sz w:val="20"/>
          <w:szCs w:val="20"/>
        </w:rPr>
      </w:pPr>
      <w:r>
        <w:rPr>
          <w:sz w:val="20"/>
          <w:szCs w:val="20"/>
          <w:lang w:val="en-US"/>
        </w:rPr>
        <w:t>OTHER INGREDIENTS</w:t>
        <w:br/>
      </w:r>
      <w:r>
        <w:rPr>
          <w:b w:val="false"/>
          <w:bCs w:val="false"/>
          <w:sz w:val="18"/>
          <w:szCs w:val="18"/>
          <w:lang w:val="en-US"/>
        </w:rPr>
        <w:t>Bulking agents (microcrystalline celluloae, anti-caking agents (magnesium tearat, silica), lubricant (polysorbat), coating agent (hypromellos).</w:t>
      </w:r>
    </w:p>
    <w:p>
      <w:pPr>
        <w:pStyle w:val="Rubrik5"/>
        <w:numPr>
          <w:ilvl w:val="4"/>
          <w:numId w:val="2"/>
        </w:numPr>
        <w:ind w:left="0" w:right="0" w:hanging="0"/>
        <w:rPr>
          <w:sz w:val="18"/>
          <w:szCs w:val="18"/>
          <w:lang w:val="en-US"/>
        </w:rPr>
      </w:pPr>
      <w:r>
        <w:rPr>
          <w:sz w:val="18"/>
          <w:szCs w:val="18"/>
          <w:lang w:val="en-US"/>
        </w:rPr>
      </w:r>
    </w:p>
    <w:p>
      <w:pPr>
        <w:pStyle w:val="Brdtext"/>
        <w:rPr>
          <w:sz w:val="18"/>
          <w:szCs w:val="18"/>
        </w:rPr>
      </w:pPr>
      <w:r>
        <w:rPr>
          <w:sz w:val="18"/>
          <w:szCs w:val="18"/>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18"/>
          <w:szCs w:val="18"/>
        </w:rPr>
      </w:pPr>
      <w:r>
        <w:rPr>
          <w:sz w:val="18"/>
          <w:szCs w:val="18"/>
        </w:rPr>
      </w:r>
    </w:p>
    <w:p>
      <w:pPr>
        <w:pStyle w:val="Rubrik4press"/>
        <w:rPr>
          <w:sz w:val="20"/>
          <w:szCs w:val="20"/>
        </w:rPr>
      </w:pPr>
      <w:r>
        <w:rPr>
          <w:sz w:val="20"/>
          <w:szCs w:val="20"/>
          <w:lang w:val="en-US"/>
        </w:rPr>
        <w:t>CAUTION</w:t>
      </w:r>
    </w:p>
    <w:p>
      <w:pPr>
        <w:pStyle w:val="Brdtextpress"/>
        <w:rPr/>
      </w:pPr>
      <w:r>
        <w:rPr>
          <w:rStyle w:val="Starktbetonad"/>
          <w:b w:val="false"/>
          <w:bCs w:val="false"/>
          <w:sz w:val="18"/>
          <w:szCs w:val="18"/>
          <w:lang w:val="en-US"/>
        </w:rPr>
        <w:t>For adults only. Consult physician if pregnant/nursing, taking medication, or have a medical condition. Keep out of reach for children. Store tightly closed in a cool, dry place.</w:t>
      </w:r>
    </w:p>
    <w:p>
      <w:pPr>
        <w:pStyle w:val="Rubrik4press"/>
        <w:rPr/>
      </w:pPr>
      <w:r>
        <w:rPr>
          <w:rStyle w:val="Starktbetonad"/>
          <w:sz w:val="20"/>
          <w:szCs w:val="20"/>
          <w:lang w:val="en-US"/>
        </w:rPr>
        <w:t xml:space="preserve">DIETARY SUPPLEMENT </w:t>
      </w:r>
    </w:p>
    <w:p>
      <w:pPr>
        <w:pStyle w:val="Brdtextpress"/>
        <w:rPr>
          <w:sz w:val="20"/>
          <w:szCs w:val="20"/>
        </w:rPr>
      </w:pPr>
      <w:r>
        <w:rPr>
          <w:sz w:val="18"/>
          <w:szCs w:val="18"/>
          <w:lang w:val="en-US"/>
        </w:rPr>
        <w:t>Recommended daily dose should not be exceeded. Should not be used as an alternative to a varied and balanced diet and healthy lifestyle.</w:t>
      </w:r>
    </w:p>
    <w:p>
      <w:pPr>
        <w:pStyle w:val="Tabellfrteckningrubrik"/>
        <w:rPr>
          <w:sz w:val="18"/>
          <w:szCs w:val="18"/>
          <w:lang w:val="en-US"/>
        </w:rPr>
      </w:pPr>
      <w:r>
        <w:rPr>
          <w:sz w:val="18"/>
          <w:szCs w:val="18"/>
          <w:lang w:val="en-US"/>
        </w:rPr>
      </w:r>
    </w:p>
    <w:p>
      <w:pPr>
        <w:pStyle w:val="Rubrik4press"/>
        <w:rPr>
          <w:sz w:val="20"/>
          <w:szCs w:val="20"/>
          <w:lang w:val="en-US"/>
        </w:rPr>
      </w:pPr>
      <w:r>
        <w:rPr>
          <w:sz w:val="20"/>
          <w:szCs w:val="20"/>
          <w:lang w:val="en-US"/>
        </w:rPr>
      </w:r>
    </w:p>
    <w:p>
      <w:pPr>
        <w:pStyle w:val="Brdtextpress"/>
        <w:rPr>
          <w:sz w:val="20"/>
          <w:szCs w:val="20"/>
        </w:rPr>
      </w:pPr>
      <w:r>
        <w:rPr>
          <w:b/>
          <w:bCs/>
          <w:sz w:val="20"/>
          <w:szCs w:val="20"/>
          <w:lang w:val="en-US"/>
        </w:rPr>
        <w:t xml:space="preserve">Manufactured in Sweden </w:t>
      </w:r>
      <w:r>
        <w:rPr>
          <w:sz w:val="18"/>
          <w:szCs w:val="18"/>
          <w:lang w:val="en-US"/>
        </w:rPr>
        <w:t>according to current EU standards.</w:t>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sectPr>
      <w:headerReference w:type="default" r:id="rId3"/>
      <w:footerReference w:type="default" r:id="rId4"/>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Arial">
    <w:charset w:val="01"/>
    <w:family w:val="swiss"/>
    <w:pitch w:val="variable"/>
  </w:font>
  <w:font w:name="Times">
    <w:altName w:val="Times New Roman"/>
    <w:charset w:val="00"/>
    <w:family w:val="roman"/>
    <w:pitch w:val="variable"/>
  </w:font>
  <w:font w:name="Source sans pro">
    <w:altName w:val="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2"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 xml:space="preserve"> 202</w:t>
    </w:r>
    <w:r>
      <w:rPr/>
      <w:t>2</w:t>
    </w:r>
    <w:r>
      <w:rPr/>
      <w:t>-0</w:t>
    </w:r>
    <w:r>
      <w:rPr/>
      <w:t>4</w:t>
    </w:r>
    <w:r>
      <w:rPr/>
      <w:t>-</w:t>
    </w:r>
    <w:r>
      <w:rPr/>
      <w:t>05</w:t>
    </w:r>
  </w:p>
  <w:p>
    <w:pPr>
      <w:pStyle w:val="Sidhuvud"/>
      <w:rPr/>
    </w:pPr>
    <w:r>
      <w:rPr/>
      <w:tab/>
      <w:tab/>
      <w:t>Product: Complete Vitamin &amp; Mineral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Rubrik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1">
    <w:name w:val="Heading 1"/>
    <w:basedOn w:val="Rubrik"/>
    <w:next w:val="Brdtext"/>
    <w:qFormat/>
    <w:pPr>
      <w:numPr>
        <w:ilvl w:val="0"/>
        <w:numId w:val="1"/>
      </w:numPr>
      <w:spacing w:before="240" w:after="120"/>
      <w:outlineLvl w:val="0"/>
    </w:pPr>
    <w:rPr>
      <w:rFonts w:ascii="Liberation Serif" w:hAnsi="Liberation Serif" w:eastAsia="Segoe UI" w:cs="Tahoma"/>
      <w:b/>
      <w:bCs/>
      <w:sz w:val="48"/>
      <w:szCs w:val="48"/>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16"/>
      <w:szCs w:val="16"/>
    </w:rPr>
  </w:style>
  <w:style w:type="character" w:styleId="ListLabel23">
    <w:name w:val="ListLabel 23"/>
    <w:qFormat/>
    <w:rPr>
      <w:sz w:val="16"/>
      <w:szCs w:val="16"/>
    </w:rPr>
  </w:style>
  <w:style w:type="character" w:styleId="ListLabel24">
    <w:name w:val="ListLabel 24"/>
    <w:qFormat/>
    <w:rPr>
      <w:sz w:val="16"/>
      <w:szCs w:val="16"/>
    </w:rPr>
  </w:style>
  <w:style w:type="character" w:styleId="ListLabel25">
    <w:name w:val="ListLabel 25"/>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fals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8647</TotalTime>
  <Application>LibreOffice/6.2.5.2$Windows_X86_64 LibreOffice_project/1ec314fa52f458adc18c4f025c545a4e8b22c159</Application>
  <Pages>3</Pages>
  <Words>350</Words>
  <Characters>1774</Characters>
  <CharactersWithSpaces>2097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2020-10-09T09:13:17Z</cp:lastPrinted>
  <dcterms:modified xsi:type="dcterms:W3CDTF">2022-04-05T12:59:28Z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