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ubrik1press"/>
        <w:jc w:val="left"/>
        <w:rPr/>
      </w:pPr>
      <w:r>
        <w:rPr>
          <w:rStyle w:val="Strong"/>
          <w:b/>
        </w:rPr>
        <w:t>KCG Performance 400</w:t>
      </w:r>
      <w:r>
        <w:rPr>
          <w:rStyle w:val="Strong"/>
          <w:b/>
          <w:bCs/>
          <w:i w:val="false"/>
          <w:iCs w:val="false"/>
        </w:rPr>
        <w:t>g</w:t>
      </w:r>
    </w:p>
    <w:p>
      <w:pPr>
        <w:pStyle w:val="Rubrik2press"/>
        <w:jc w:val="left"/>
        <w:rPr/>
      </w:pPr>
      <w:r>
        <w:rPr>
          <w:rStyle w:val="Strong"/>
          <w:b/>
          <w:sz w:val="20"/>
          <w:szCs w:val="20"/>
        </w:rPr>
        <w:t>Art nr. 331</w:t>
      </w:r>
      <w:r>
        <w:rPr>
          <w:rStyle w:val="Strong"/>
          <w:b w:val="false"/>
          <w:bCs w:val="false"/>
          <w:sz w:val="20"/>
          <w:szCs w:val="20"/>
        </w:rPr>
        <w:t>, Berry</w:t>
      </w:r>
    </w:p>
    <w:p>
      <w:pPr>
        <w:pStyle w:val="Brdtextpress"/>
        <w:numPr>
          <w:ilvl w:val="0"/>
          <w:numId w:val="0"/>
        </w:numPr>
        <w:ind w:left="0" w:hanging="0"/>
        <w:rPr/>
      </w:pPr>
      <w:r>
        <w:rPr>
          <w:rStyle w:val="Strong"/>
        </w:rPr>
        <w:br/>
      </w:r>
    </w:p>
    <w:p>
      <w:pPr>
        <w:pStyle w:val="Brdtextpress"/>
        <w:rPr/>
      </w:pPr>
      <w:r>
        <w:rPr>
          <w:rStyle w:val="Strong"/>
          <w:i/>
          <w:iCs/>
          <w:sz w:val="28"/>
          <w:szCs w:val="28"/>
        </w:rPr>
        <w:t>Produkten för dig som kräver maximal uthållighet</w:t>
      </w:r>
    </w:p>
    <w:p>
      <w:pPr>
        <w:pStyle w:val="Brdtextpress"/>
        <w:rPr/>
      </w:pPr>
      <w:r>
        <w:rPr>
          <w:rStyle w:val="Strong"/>
          <w:sz w:val="18"/>
          <w:szCs w:val="18"/>
        </w:rPr>
        <w:t xml:space="preserve">KCG Performance är en sportdryck innehållande allt som krävs för att du skall kunna maximera din prestation och förbättra din styrka och uthållighet. </w:t>
        <w:br/>
        <w:br/>
      </w:r>
      <w:r>
        <w:rPr>
          <w:rStyle w:val="Strong"/>
          <w:b w:val="false"/>
          <w:bCs w:val="false"/>
          <w:i w:val="false"/>
          <w:iCs w:val="false"/>
          <w:sz w:val="18"/>
          <w:szCs w:val="18"/>
        </w:rPr>
        <w:t xml:space="preserve">1995 samarbetade Fairing med Professor R.Harris som gjorde studien </w:t>
      </w:r>
      <w:r>
        <w:rPr>
          <w:rStyle w:val="Strong"/>
          <w:b/>
          <w:bCs/>
          <w:i/>
          <w:iCs/>
          <w:sz w:val="18"/>
          <w:szCs w:val="18"/>
        </w:rPr>
        <w:t xml:space="preserve">”Methods- and compositions for increasing the anaerobic capacity in tissue” </w:t>
      </w:r>
      <w:r>
        <w:rPr>
          <w:rStyle w:val="Strong"/>
          <w:b w:val="false"/>
          <w:bCs w:val="false"/>
          <w:i w:val="false"/>
          <w:iCs w:val="false"/>
          <w:sz w:val="18"/>
          <w:szCs w:val="18"/>
        </w:rPr>
        <w:t>och den studien låg till grund för det patent Fairing hade på KCG mellan 1996-2006. Studien bevisade förenklat att KCG förskjöt tröskeln till utmattning rejält och gjorde så att atleterna kunde arbeta med högre arbetspuls utan att drabbas av stumma muskler.</w:t>
      </w:r>
    </w:p>
    <w:p>
      <w:pPr>
        <w:pStyle w:val="Brdtextpress"/>
        <w:rPr/>
      </w:pPr>
      <w:r>
        <w:rPr>
          <w:rStyle w:val="Strong"/>
          <w:b w:val="false"/>
          <w:bCs w:val="false"/>
          <w:i w:val="false"/>
          <w:iCs w:val="false"/>
          <w:sz w:val="18"/>
          <w:szCs w:val="18"/>
        </w:rPr>
        <w:t>I slutet av 90-talet var KCG kraftigt uppmärksammat av motocrossförare som ofta ligger över 90-95% av maxpuls under långa heat och ofta har problem med stumma underarmar och i början av 2000-talet hade Fairing ca. 75% av alla licensierade elitförare som kunder.</w:t>
      </w:r>
      <w:r>
        <w:rPr>
          <w:rStyle w:val="Strong"/>
          <w:sz w:val="18"/>
          <w:szCs w:val="18"/>
        </w:rPr>
        <w:br/>
        <w:br/>
        <w:t>KCG Performance innehåller b.l.a.</w:t>
        <w:br/>
      </w:r>
      <w:r>
        <w:rPr>
          <w:rStyle w:val="Strong"/>
          <w:b/>
          <w:bCs/>
          <w:sz w:val="18"/>
          <w:szCs w:val="18"/>
        </w:rPr>
        <w:t xml:space="preserve">Kreatin och Beta alanin </w:t>
      </w:r>
      <w:r>
        <w:rPr>
          <w:rStyle w:val="Strong"/>
          <w:b w:val="false"/>
          <w:bCs w:val="false"/>
          <w:sz w:val="18"/>
          <w:szCs w:val="18"/>
        </w:rPr>
        <w:t>ökar tillsammans muskelns buffertkapacitet och förmåga att ta hand om de sura vätejoner som frisätts vid hårt arbete under längre tid. Kreatin ökar den fysiska prestationen vid upprepad ansträngning i samband med kortvarig och högintensiv träning.</w:t>
      </w:r>
    </w:p>
    <w:p>
      <w:pPr>
        <w:pStyle w:val="Brdtextpress"/>
        <w:rPr/>
      </w:pPr>
      <w:r>
        <w:rPr>
          <w:rStyle w:val="Strong"/>
          <w:b/>
          <w:bCs/>
          <w:sz w:val="18"/>
          <w:szCs w:val="18"/>
        </w:rPr>
        <w:t>ALC &amp; Koffein</w:t>
      </w:r>
      <w:r>
        <w:rPr>
          <w:rStyle w:val="Strong"/>
          <w:b w:val="false"/>
          <w:bCs w:val="false"/>
          <w:sz w:val="18"/>
          <w:szCs w:val="18"/>
        </w:rPr>
        <w:t xml:space="preserve"> ökar din mentala skärpa , vakenhet , koncentration och muskeluthållighet.</w:t>
      </w:r>
    </w:p>
    <w:p>
      <w:pPr>
        <w:pStyle w:val="Tabellfrteckningrubrik"/>
        <w:rPr/>
      </w:pPr>
      <w:r>
        <w:rPr>
          <w:rStyle w:val="Strong"/>
          <w:rFonts w:ascii="Arial" w:hAnsi="Arial"/>
          <w:b/>
          <w:bCs/>
          <w:sz w:val="18"/>
          <w:szCs w:val="18"/>
        </w:rPr>
        <w:t xml:space="preserve">KCG Peformance </w:t>
      </w:r>
      <w:r>
        <w:rPr>
          <w:rStyle w:val="Strong"/>
          <w:rFonts w:ascii="Arial" w:hAnsi="Arial"/>
          <w:b w:val="false"/>
          <w:bCs w:val="false"/>
          <w:sz w:val="18"/>
          <w:szCs w:val="18"/>
        </w:rPr>
        <w:t>innehåller  en hög halt Nitrat som har en starkt prestationshöjande effekt för kondition och uthållighetsidrott</w:t>
      </w:r>
    </w:p>
    <w:p>
      <w:pPr>
        <w:pStyle w:val="Tabellfrteckningrubrik"/>
        <w:rPr/>
      </w:pPr>
      <w:r>
        <w:rPr>
          <w:rStyle w:val="Strong"/>
          <w:rFonts w:ascii="Arial" w:hAnsi="Arial"/>
          <w:b/>
          <w:bCs/>
          <w:sz w:val="18"/>
          <w:szCs w:val="18"/>
        </w:rPr>
        <w:t>200mg Magnesium</w:t>
      </w:r>
      <w:r>
        <w:rPr>
          <w:rStyle w:val="Strong"/>
          <w:rFonts w:ascii="Arial" w:hAnsi="Arial"/>
          <w:b w:val="false"/>
          <w:bCs w:val="false"/>
          <w:sz w:val="18"/>
          <w:szCs w:val="18"/>
        </w:rPr>
        <w:t xml:space="preserve"> per portion bidrar till elektrolytbalansen, normal proteinsyntes, energiomsättning och muskelfunktion samt till att minska trötthet och utmattning. </w:t>
      </w:r>
    </w:p>
    <w:p>
      <w:pPr>
        <w:pStyle w:val="Brdtext"/>
        <w:widowControl/>
        <w:spacing w:before="0" w:after="0"/>
        <w:ind w:left="0" w:right="0" w:hanging="0"/>
        <w:rPr>
          <w:rFonts w:ascii="Arial" w:hAnsi="Arial"/>
          <w:b/>
          <w:i w:val="false"/>
          <w:i w:val="false"/>
          <w:caps w:val="false"/>
          <w:smallCaps w:val="false"/>
          <w:color w:val="000000"/>
          <w:spacing w:val="0"/>
          <w:sz w:val="18"/>
          <w:szCs w:val="18"/>
        </w:rPr>
      </w:pPr>
      <w:r>
        <w:rPr>
          <w:rFonts w:ascii="Arial" w:hAnsi="Arial"/>
          <w:b/>
          <w:i w:val="false"/>
          <w:caps w:val="false"/>
          <w:smallCaps w:val="false"/>
          <w:color w:val="000000"/>
          <w:spacing w:val="0"/>
          <w:sz w:val="18"/>
          <w:szCs w:val="18"/>
        </w:rPr>
      </w:r>
    </w:p>
    <w:p>
      <w:pPr>
        <w:pStyle w:val="Brdtext"/>
        <w:widowControl/>
        <w:spacing w:before="0" w:after="0"/>
        <w:ind w:left="0" w:right="0" w:hanging="0"/>
        <w:rPr>
          <w:b/>
          <w:bCs/>
          <w:i/>
          <w:i/>
          <w:iCs/>
          <w:sz w:val="18"/>
          <w:szCs w:val="18"/>
        </w:rPr>
      </w:pPr>
      <w:r>
        <w:rPr>
          <w:rFonts w:ascii="Arial" w:hAnsi="Arial"/>
          <w:b/>
          <w:bCs/>
          <w:i/>
          <w:iCs/>
          <w:caps w:val="false"/>
          <w:smallCaps w:val="false"/>
          <w:color w:val="000000"/>
          <w:spacing w:val="0"/>
          <w:sz w:val="18"/>
          <w:szCs w:val="18"/>
        </w:rPr>
        <w:t>KCG Performance är ett samarbete mellan Filip Bengtsson, 8-faldig svensk mästare i motocross och Fairingatlet. Filip är känd för att inte lämna något åt slumpen och började redan 2019 att kombinera olika Fairingprodukter för maximal prestation- och återhämtning. Resultatet blev ett nytt SM Guld i motocross och en överlägsen seger i världens största Endurotävling GGN.</w:t>
      </w:r>
    </w:p>
    <w:p>
      <w:pPr>
        <w:pStyle w:val="Brdtext"/>
        <w:widowControl/>
        <w:spacing w:before="0" w:after="0"/>
        <w:ind w:left="0" w:right="0" w:hanging="0"/>
        <w:rPr>
          <w:b/>
          <w:bCs/>
          <w:i/>
          <w:i/>
          <w:iCs/>
          <w:sz w:val="18"/>
          <w:szCs w:val="18"/>
        </w:rPr>
      </w:pPr>
      <w:r>
        <w:rPr>
          <w:rFonts w:ascii="Arial" w:hAnsi="Arial"/>
          <w:b/>
          <w:bCs/>
          <w:i/>
          <w:iCs/>
          <w:caps w:val="false"/>
          <w:smallCaps w:val="false"/>
          <w:color w:val="000000"/>
          <w:spacing w:val="0"/>
          <w:sz w:val="18"/>
          <w:szCs w:val="18"/>
        </w:rPr>
        <w:t>Till säsong 2023 började Filip Bengtsson och Fairing att utveckla en moderna och förbättrad form av KCG som förutom Kreatin och Beta alanin innehåller en hög halt Nitrat (ifrån rödbeta och spenat) som har en stor inverkan på uthålligheten.</w:t>
      </w:r>
    </w:p>
    <w:p>
      <w:pPr>
        <w:pStyle w:val="Rubrik4press"/>
        <w:rPr>
          <w:sz w:val="18"/>
          <w:szCs w:val="18"/>
        </w:rPr>
      </w:pPr>
      <w:r>
        <w:rPr>
          <w:sz w:val="18"/>
          <w:szCs w:val="18"/>
        </w:rPr>
        <w:t>NETTOVIKT</w:t>
      </w:r>
    </w:p>
    <w:p>
      <w:pPr>
        <w:pStyle w:val="Brdtextpress"/>
        <w:rPr>
          <w:sz w:val="18"/>
          <w:szCs w:val="18"/>
        </w:rPr>
      </w:pPr>
      <w:r>
        <w:rPr>
          <w:rFonts w:cs="Arial"/>
          <w:b w:val="false"/>
          <w:bCs w:val="false"/>
          <w:sz w:val="18"/>
          <w:szCs w:val="18"/>
        </w:rPr>
        <w:t>400g (ca 16 serveringar)</w:t>
      </w:r>
    </w:p>
    <w:p>
      <w:pPr>
        <w:pStyle w:val="Rubrik4press"/>
        <w:rPr>
          <w:sz w:val="18"/>
          <w:szCs w:val="18"/>
        </w:rPr>
      </w:pPr>
      <w:r>
        <w:rPr>
          <w:rFonts w:cs="Arial"/>
          <w:b/>
          <w:bCs/>
          <w:sz w:val="18"/>
          <w:szCs w:val="18"/>
        </w:rPr>
        <w:t>DOSERINGSSTORLEK</w:t>
      </w:r>
    </w:p>
    <w:p>
      <w:pPr>
        <w:pStyle w:val="Brdtextpress"/>
        <w:rPr>
          <w:sz w:val="18"/>
          <w:szCs w:val="18"/>
        </w:rPr>
      </w:pPr>
      <w:r>
        <w:rPr>
          <w:rFonts w:cs="Arial"/>
          <w:b w:val="false"/>
          <w:bCs w:val="false"/>
          <w:sz w:val="18"/>
          <w:szCs w:val="18"/>
        </w:rPr>
        <w:t>25</w:t>
      </w:r>
      <w:r>
        <w:rPr>
          <w:rFonts w:cs="Arial"/>
          <w:b w:val="false"/>
          <w:bCs w:val="false"/>
          <w:sz w:val="18"/>
          <w:szCs w:val="18"/>
        </w:rPr>
        <w:t>g</w:t>
      </w:r>
    </w:p>
    <w:p>
      <w:pPr>
        <w:pStyle w:val="Rubrik4press"/>
        <w:rPr>
          <w:sz w:val="18"/>
          <w:szCs w:val="18"/>
        </w:rPr>
      </w:pPr>
      <w:r>
        <w:rPr>
          <w:sz w:val="18"/>
          <w:szCs w:val="18"/>
        </w:rPr>
        <w:t xml:space="preserve">DOSERING </w:t>
      </w:r>
    </w:p>
    <w:p>
      <w:pPr>
        <w:pStyle w:val="Normal"/>
        <w:rPr>
          <w:rFonts w:ascii="Arial" w:hAnsi="Arial"/>
          <w:sz w:val="18"/>
          <w:szCs w:val="18"/>
        </w:rPr>
      </w:pPr>
      <w:r>
        <w:rPr>
          <w:rFonts w:ascii="Arial" w:hAnsi="Arial"/>
          <w:b w:val="false"/>
          <w:bCs w:val="false"/>
          <w:sz w:val="18"/>
          <w:szCs w:val="18"/>
        </w:rPr>
        <w:t>En portion är 25g ( ca. 1 rågad skopa ) och blandas med 3-5dl vatten. Intas 15-30 minuter före fysisk aktivitet.</w:t>
      </w:r>
    </w:p>
    <w:p>
      <w:pPr>
        <w:pStyle w:val="Normal"/>
        <w:tabs>
          <w:tab w:val="clear" w:pos="1304"/>
          <w:tab w:val="left" w:pos="1005" w:leader="none"/>
        </w:tabs>
        <w:rPr>
          <w:rStyle w:val="A5"/>
          <w:rFonts w:ascii="Arial" w:hAnsi="Arial" w:cs="Times New Roman"/>
          <w:b w:val="false"/>
          <w:bCs w:val="false"/>
          <w:i w:val="false"/>
          <w:i w:val="false"/>
          <w:iCs w:val="false"/>
          <w:caps w:val="false"/>
          <w:smallCaps w:val="false"/>
          <w:color w:val="000000"/>
          <w:spacing w:val="0"/>
          <w:sz w:val="18"/>
          <w:szCs w:val="18"/>
          <w:lang w:val="sv-SE"/>
        </w:rPr>
      </w:pPr>
      <w:r>
        <w:rPr>
          <w:rFonts w:cs="Times New Roman" w:ascii="Arial" w:hAnsi="Arial"/>
          <w:b w:val="false"/>
          <w:bCs w:val="false"/>
          <w:i w:val="false"/>
          <w:iCs w:val="false"/>
          <w:caps w:val="false"/>
          <w:smallCaps w:val="false"/>
          <w:color w:val="000000"/>
          <w:spacing w:val="0"/>
          <w:sz w:val="18"/>
          <w:szCs w:val="18"/>
          <w:lang w:val="sv-SE"/>
        </w:rPr>
      </w:r>
    </w:p>
    <w:p>
      <w:pPr>
        <w:pStyle w:val="Normal"/>
        <w:tabs>
          <w:tab w:val="clear" w:pos="1304"/>
          <w:tab w:val="left" w:pos="1005" w:leader="none"/>
        </w:tabs>
        <w:rPr/>
      </w:pPr>
      <w:r>
        <w:rPr>
          <w:rFonts w:ascii="Arial" w:hAnsi="Arial"/>
          <w:b/>
          <w:bCs/>
          <w:sz w:val="20"/>
          <w:szCs w:val="20"/>
        </w:rPr>
        <w:t xml:space="preserve">INGREDIENSER </w:t>
        <w:br/>
      </w:r>
      <w:r>
        <w:rPr>
          <w:rFonts w:ascii="Arial" w:hAnsi="Arial"/>
          <w:b w:val="false"/>
          <w:bCs/>
          <w:i w:val="false"/>
          <w:iCs w:val="false"/>
          <w:caps w:val="false"/>
          <w:smallCaps w:val="false"/>
          <w:color w:val="000000"/>
          <w:spacing w:val="0"/>
          <w:sz w:val="18"/>
          <w:szCs w:val="18"/>
        </w:rPr>
        <w:t xml:space="preserve">Maltodextrin ( 37%) surhetsreglerande medel ( äppelsyra) Beta alanin ( 14,8% ) , kreatin monohydrat ( 12%) ,Antiklumpmedel (kalciumsilicat ,tricalciumfosfat , silikondioxid ,maltodextrin) , Spenatextrakt ( spinacia oleracea -stam och blad) (4,4%), rödbetsextrakt (beta vulgaris) (3,3%),Sötningsmedel (sukralos ,Acesulfam K), Acetyl L-karnitin (ALC) , Aromämnen , Magnesiumcitrat ,koffein , natriumbikarbonat (27% natrium) (0,36%), Färgämne (antocyaner). </w:t>
      </w:r>
      <w:r>
        <w:rPr>
          <w:rFonts w:ascii="Arial" w:hAnsi="Arial"/>
          <w:b/>
          <w:bCs/>
          <w:i/>
          <w:iCs/>
          <w:caps w:val="false"/>
          <w:smallCaps w:val="false"/>
          <w:color w:val="000000"/>
          <w:spacing w:val="0"/>
          <w:sz w:val="18"/>
          <w:szCs w:val="18"/>
        </w:rPr>
        <w:t>Innehåller koffein. Rekommenderas ej för barn och gravida samt ammande  kvinnor(138 mg koffein per servering / 552mg koffein per 100g )</w:t>
      </w:r>
      <w:r>
        <w:rPr>
          <w:rFonts w:ascii="Arial" w:hAnsi="Arial"/>
          <w:b/>
          <w:bCs/>
          <w:i w:val="false"/>
          <w:iCs w:val="false"/>
          <w:caps w:val="false"/>
          <w:smallCaps w:val="false"/>
          <w:color w:val="000000"/>
          <w:spacing w:val="0"/>
          <w:sz w:val="18"/>
          <w:szCs w:val="18"/>
        </w:rPr>
        <w:t xml:space="preserve"> </w:t>
      </w:r>
    </w:p>
    <w:p>
      <w:pPr>
        <w:pStyle w:val="Normal"/>
        <w:tabs>
          <w:tab w:val="clear" w:pos="1304"/>
          <w:tab w:val="left" w:pos="1005" w:leader="none"/>
        </w:tabs>
        <w:rPr>
          <w:rFonts w:ascii="Times;Times New Roman" w:hAnsi="Times;Times New Roman" w:cs="Times;Times New Roman"/>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Cs/>
          <w:caps/>
          <w:sz w:val="16"/>
          <w:szCs w:val="16"/>
          <w:lang w:val="sv-SE"/>
        </w:rPr>
      </w:pPr>
      <w:r>
        <w:rPr>
          <w:rFonts w:cs="Times;Times New Roman" w:ascii="Times;Times New Roman" w:hAnsi="Times;Times New Roman"/>
          <w:b/>
          <w:bCs/>
          <w:caps/>
          <w:sz w:val="16"/>
          <w:szCs w:val="16"/>
          <w:lang w:val="sv-SE"/>
        </w:rPr>
      </w:r>
    </w:p>
    <w:p>
      <w:pPr>
        <w:pStyle w:val="Normal"/>
        <w:rPr/>
      </w:pPr>
      <w:r>
        <w:rPr>
          <w:rFonts w:cs="Times;Times New Roman" w:ascii="Times;Times New Roman" w:hAnsi="Times;Times New Roman"/>
          <w:b/>
          <w:bCs/>
          <w:caps/>
          <w:sz w:val="16"/>
          <w:szCs w:val="16"/>
          <w:lang w:val="sv-SE"/>
        </w:rPr>
        <w:t>Näringsinnehåll:</w:t>
      </w:r>
    </w:p>
    <w:tbl>
      <w:tblPr>
        <w:tblW w:w="9686" w:type="dxa"/>
        <w:jc w:val="left"/>
        <w:tblInd w:w="-30" w:type="dxa"/>
        <w:tblLayout w:type="fixed"/>
        <w:tblCellMar>
          <w:top w:w="55" w:type="dxa"/>
          <w:left w:w="55" w:type="dxa"/>
          <w:bottom w:w="55" w:type="dxa"/>
          <w:right w:w="55" w:type="dxa"/>
        </w:tblCellMar>
      </w:tblPr>
      <w:tblGrid>
        <w:gridCol w:w="3508"/>
        <w:gridCol w:w="2939"/>
        <w:gridCol w:w="3239"/>
      </w:tblGrid>
      <w:tr>
        <w:trPr/>
        <w:tc>
          <w:tcPr>
            <w:tcW w:w="3508" w:type="dxa"/>
            <w:tcBorders>
              <w:top w:val="single" w:sz="2" w:space="0" w:color="000000"/>
              <w:left w:val="single" w:sz="2" w:space="0" w:color="000000"/>
              <w:bottom w:val="single" w:sz="2" w:space="0" w:color="000000"/>
            </w:tcBorders>
            <w:shd w:fill="auto" w:val="clear"/>
          </w:tcPr>
          <w:p>
            <w:pPr>
              <w:pStyle w:val="Tabellinnehll"/>
              <w:widowControl w:val="false"/>
              <w:spacing w:before="0" w:after="170"/>
              <w:rPr>
                <w:b/>
                <w:bCs/>
                <w:sz w:val="16"/>
                <w:szCs w:val="16"/>
              </w:rPr>
            </w:pPr>
            <w:r>
              <w:rPr>
                <w:b/>
                <w:bCs/>
                <w:sz w:val="16"/>
                <w:szCs w:val="16"/>
              </w:rPr>
              <w:t>Näringsvärde/Nutritional value</w:t>
            </w:r>
          </w:p>
        </w:tc>
        <w:tc>
          <w:tcPr>
            <w:tcW w:w="2939" w:type="dxa"/>
            <w:tcBorders>
              <w:top w:val="single" w:sz="2" w:space="0" w:color="000000"/>
              <w:left w:val="single" w:sz="2" w:space="0" w:color="000000"/>
              <w:bottom w:val="single" w:sz="2" w:space="0" w:color="000000"/>
            </w:tcBorders>
            <w:shd w:fill="auto" w:val="clear"/>
          </w:tcPr>
          <w:p>
            <w:pPr>
              <w:pStyle w:val="Tabellinnehll"/>
              <w:widowControl w:val="false"/>
              <w:spacing w:before="0" w:after="170"/>
              <w:rPr>
                <w:b/>
                <w:bCs/>
                <w:sz w:val="16"/>
                <w:szCs w:val="16"/>
              </w:rPr>
            </w:pPr>
            <w:r>
              <w:rPr>
                <w:b/>
                <w:bCs/>
                <w:sz w:val="16"/>
                <w:szCs w:val="16"/>
              </w:rPr>
              <w:t>100g  (%RDI)</w:t>
            </w:r>
          </w:p>
        </w:tc>
        <w:tc>
          <w:tcPr>
            <w:tcW w:w="3239" w:type="dxa"/>
            <w:tcBorders>
              <w:top w:val="single" w:sz="2" w:space="0" w:color="000000"/>
              <w:left w:val="single" w:sz="2" w:space="0" w:color="000000"/>
              <w:bottom w:val="single" w:sz="2" w:space="0" w:color="000000"/>
              <w:right w:val="single" w:sz="2" w:space="0" w:color="000000"/>
            </w:tcBorders>
            <w:shd w:fill="auto" w:val="clear"/>
          </w:tcPr>
          <w:p>
            <w:pPr>
              <w:pStyle w:val="Tabellinnehll"/>
              <w:widowControl w:val="false"/>
              <w:spacing w:before="0" w:after="170"/>
              <w:rPr/>
            </w:pPr>
            <w:r>
              <w:rPr>
                <w:b/>
                <w:bCs/>
                <w:sz w:val="16"/>
                <w:szCs w:val="16"/>
              </w:rPr>
              <w:t xml:space="preserve">Portion / Serving, </w:t>
            </w:r>
            <w:r>
              <w:rPr>
                <w:b/>
                <w:bCs/>
                <w:sz w:val="16"/>
                <w:szCs w:val="16"/>
              </w:rPr>
              <w:t>25</w:t>
            </w:r>
            <w:r>
              <w:rPr>
                <w:b/>
                <w:bCs/>
                <w:sz w:val="16"/>
                <w:szCs w:val="16"/>
              </w:rPr>
              <w:t>g</w:t>
            </w:r>
          </w:p>
        </w:tc>
      </w:tr>
      <w:tr>
        <w:trPr/>
        <w:tc>
          <w:tcPr>
            <w:tcW w:w="3508"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Energi/Energy (kJ/kcal)</w:t>
            </w:r>
          </w:p>
        </w:tc>
        <w:tc>
          <w:tcPr>
            <w:tcW w:w="2939" w:type="dxa"/>
            <w:tcBorders>
              <w:left w:val="single" w:sz="2" w:space="0" w:color="000000"/>
              <w:bottom w:val="single" w:sz="2" w:space="0" w:color="000000"/>
            </w:tcBorders>
            <w:shd w:fill="auto" w:val="clear"/>
          </w:tcPr>
          <w:p>
            <w:pPr>
              <w:pStyle w:val="Normal"/>
              <w:widowControl w:val="false"/>
              <w:spacing w:before="0" w:after="170"/>
              <w:rPr>
                <w:sz w:val="16"/>
                <w:szCs w:val="16"/>
              </w:rPr>
            </w:pPr>
            <w:r>
              <w:rPr>
                <w:sz w:val="16"/>
                <w:szCs w:val="16"/>
              </w:rPr>
              <w:t>1262kj/302 kcal</w:t>
            </w:r>
          </w:p>
        </w:tc>
        <w:tc>
          <w:tcPr>
            <w:tcW w:w="3239"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sz w:val="16"/>
                <w:szCs w:val="16"/>
              </w:rPr>
            </w:pPr>
            <w:r>
              <w:rPr>
                <w:sz w:val="16"/>
                <w:szCs w:val="16"/>
              </w:rPr>
              <w:t>316kj/76kcal</w:t>
            </w:r>
          </w:p>
        </w:tc>
      </w:tr>
      <w:tr>
        <w:trPr/>
        <w:tc>
          <w:tcPr>
            <w:tcW w:w="3508"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Fett/Fat</w:t>
            </w:r>
          </w:p>
        </w:tc>
        <w:tc>
          <w:tcPr>
            <w:tcW w:w="2939" w:type="dxa"/>
            <w:tcBorders>
              <w:left w:val="single" w:sz="2" w:space="0" w:color="000000"/>
              <w:bottom w:val="single" w:sz="2" w:space="0" w:color="000000"/>
            </w:tcBorders>
            <w:shd w:fill="auto" w:val="clear"/>
          </w:tcPr>
          <w:p>
            <w:pPr>
              <w:pStyle w:val="Normal"/>
              <w:widowControl w:val="false"/>
              <w:spacing w:before="0" w:after="170"/>
              <w:rPr>
                <w:sz w:val="16"/>
                <w:szCs w:val="16"/>
              </w:rPr>
            </w:pPr>
            <w:r>
              <w:rPr>
                <w:sz w:val="16"/>
                <w:szCs w:val="16"/>
              </w:rPr>
              <w:t>0g</w:t>
            </w:r>
          </w:p>
        </w:tc>
        <w:tc>
          <w:tcPr>
            <w:tcW w:w="3239" w:type="dxa"/>
            <w:tcBorders>
              <w:left w:val="single" w:sz="2" w:space="0" w:color="000000"/>
              <w:bottom w:val="single" w:sz="2" w:space="0" w:color="000000"/>
              <w:right w:val="single" w:sz="2" w:space="0" w:color="000000"/>
            </w:tcBorders>
            <w:shd w:fill="auto" w:val="clear"/>
          </w:tcPr>
          <w:p>
            <w:pPr>
              <w:pStyle w:val="Normal"/>
              <w:widowControl w:val="false"/>
              <w:spacing w:before="0" w:after="170"/>
              <w:rPr>
                <w:sz w:val="16"/>
                <w:szCs w:val="16"/>
              </w:rPr>
            </w:pPr>
            <w:r>
              <w:rPr>
                <w:sz w:val="16"/>
                <w:szCs w:val="16"/>
              </w:rPr>
              <w:t>0g</w:t>
            </w:r>
          </w:p>
        </w:tc>
      </w:tr>
      <w:tr>
        <w:trPr/>
        <w:tc>
          <w:tcPr>
            <w:tcW w:w="3508"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Kolhydrater/Carbohydrates</w:t>
            </w:r>
          </w:p>
        </w:tc>
        <w:tc>
          <w:tcPr>
            <w:tcW w:w="2939" w:type="dxa"/>
            <w:tcBorders>
              <w:left w:val="single" w:sz="2" w:space="0" w:color="000000"/>
              <w:bottom w:val="single" w:sz="2" w:space="0" w:color="000000"/>
            </w:tcBorders>
            <w:shd w:fill="auto" w:val="clear"/>
          </w:tcPr>
          <w:p>
            <w:pPr>
              <w:pStyle w:val="Normal"/>
              <w:widowControl w:val="false"/>
              <w:spacing w:before="0" w:after="170"/>
              <w:rPr>
                <w:sz w:val="16"/>
                <w:szCs w:val="16"/>
              </w:rPr>
            </w:pPr>
            <w:r>
              <w:rPr>
                <w:sz w:val="16"/>
                <w:szCs w:val="16"/>
              </w:rPr>
              <w:t>37g</w:t>
            </w:r>
          </w:p>
        </w:tc>
        <w:tc>
          <w:tcPr>
            <w:tcW w:w="3239" w:type="dxa"/>
            <w:tcBorders>
              <w:left w:val="single" w:sz="2" w:space="0" w:color="000000"/>
              <w:bottom w:val="single" w:sz="2" w:space="0" w:color="000000"/>
              <w:right w:val="single" w:sz="2" w:space="0" w:color="000000"/>
            </w:tcBorders>
            <w:shd w:fill="auto" w:val="clear"/>
          </w:tcPr>
          <w:p>
            <w:pPr>
              <w:pStyle w:val="Normal"/>
              <w:widowControl w:val="false"/>
              <w:spacing w:before="0" w:after="170"/>
              <w:rPr>
                <w:sz w:val="16"/>
                <w:szCs w:val="16"/>
              </w:rPr>
            </w:pPr>
            <w:r>
              <w:rPr>
                <w:sz w:val="16"/>
                <w:szCs w:val="16"/>
              </w:rPr>
              <w:t>9,25g</w:t>
            </w:r>
          </w:p>
        </w:tc>
      </w:tr>
      <w:tr>
        <w:trPr/>
        <w:tc>
          <w:tcPr>
            <w:tcW w:w="3508" w:type="dxa"/>
            <w:tcBorders>
              <w:left w:val="single" w:sz="2" w:space="0" w:color="000000"/>
              <w:bottom w:val="single" w:sz="2" w:space="0" w:color="000000"/>
            </w:tcBorders>
            <w:shd w:fill="auto" w:val="clear"/>
          </w:tcPr>
          <w:p>
            <w:pPr>
              <w:pStyle w:val="Tabellinnehll"/>
              <w:widowControl w:val="false"/>
              <w:spacing w:before="0" w:after="170"/>
              <w:jc w:val="center"/>
              <w:rPr>
                <w:sz w:val="16"/>
                <w:szCs w:val="16"/>
              </w:rPr>
            </w:pPr>
            <w:r>
              <w:rPr>
                <w:sz w:val="16"/>
                <w:szCs w:val="16"/>
              </w:rPr>
              <w:t>Varav sockerarter/Of which sugar</w:t>
            </w:r>
          </w:p>
        </w:tc>
        <w:tc>
          <w:tcPr>
            <w:tcW w:w="2939"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6,4g</w:t>
            </w:r>
          </w:p>
        </w:tc>
        <w:tc>
          <w:tcPr>
            <w:tcW w:w="3239"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sz w:val="16"/>
                <w:szCs w:val="16"/>
              </w:rPr>
            </w:pPr>
            <w:r>
              <w:rPr>
                <w:sz w:val="16"/>
                <w:szCs w:val="16"/>
              </w:rPr>
              <w:t>1,6g</w:t>
            </w:r>
          </w:p>
        </w:tc>
      </w:tr>
      <w:tr>
        <w:trPr/>
        <w:tc>
          <w:tcPr>
            <w:tcW w:w="3508"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Protein</w:t>
            </w:r>
          </w:p>
        </w:tc>
        <w:tc>
          <w:tcPr>
            <w:tcW w:w="2939" w:type="dxa"/>
            <w:tcBorders>
              <w:left w:val="single" w:sz="2" w:space="0" w:color="000000"/>
              <w:bottom w:val="single" w:sz="2" w:space="0" w:color="000000"/>
            </w:tcBorders>
            <w:shd w:fill="auto" w:val="clear"/>
          </w:tcPr>
          <w:p>
            <w:pPr>
              <w:pStyle w:val="Tabellinnehll"/>
              <w:widowControl w:val="false"/>
              <w:spacing w:before="0" w:after="170"/>
              <w:rPr/>
            </w:pPr>
            <w:r>
              <w:rPr>
                <w:sz w:val="16"/>
                <w:szCs w:val="16"/>
              </w:rPr>
              <w:t>37,5g</w:t>
            </w:r>
          </w:p>
        </w:tc>
        <w:tc>
          <w:tcPr>
            <w:tcW w:w="3239"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pPr>
            <w:r>
              <w:rPr>
                <w:sz w:val="16"/>
                <w:szCs w:val="16"/>
              </w:rPr>
              <w:t>9,4g</w:t>
            </w:r>
          </w:p>
        </w:tc>
      </w:tr>
      <w:tr>
        <w:trPr/>
        <w:tc>
          <w:tcPr>
            <w:tcW w:w="3508"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Salt/Sodium</w:t>
            </w:r>
          </w:p>
        </w:tc>
        <w:tc>
          <w:tcPr>
            <w:tcW w:w="2939" w:type="dxa"/>
            <w:tcBorders>
              <w:left w:val="single" w:sz="2" w:space="0" w:color="000000"/>
              <w:bottom w:val="single" w:sz="2" w:space="0" w:color="000000"/>
            </w:tcBorders>
            <w:shd w:fill="auto" w:val="clear"/>
          </w:tcPr>
          <w:p>
            <w:pPr>
              <w:pStyle w:val="Tabellinnehll"/>
              <w:widowControl w:val="false"/>
              <w:spacing w:before="0" w:after="170"/>
              <w:rPr/>
            </w:pPr>
            <w:r>
              <w:rPr>
                <w:sz w:val="16"/>
                <w:szCs w:val="16"/>
              </w:rPr>
              <w:t>0,27g</w:t>
            </w:r>
          </w:p>
        </w:tc>
        <w:tc>
          <w:tcPr>
            <w:tcW w:w="3239"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pPr>
            <w:r>
              <w:rPr>
                <w:sz w:val="16"/>
                <w:szCs w:val="16"/>
              </w:rPr>
              <w:t>0,07g</w:t>
            </w:r>
          </w:p>
        </w:tc>
      </w:tr>
      <w:tr>
        <w:trPr/>
        <w:tc>
          <w:tcPr>
            <w:tcW w:w="3508"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Fiber</w:t>
            </w:r>
          </w:p>
        </w:tc>
        <w:tc>
          <w:tcPr>
            <w:tcW w:w="2939"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0,9g</w:t>
            </w:r>
          </w:p>
        </w:tc>
        <w:tc>
          <w:tcPr>
            <w:tcW w:w="3239"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sz w:val="16"/>
                <w:szCs w:val="16"/>
              </w:rPr>
            </w:pPr>
            <w:r>
              <w:rPr>
                <w:sz w:val="16"/>
                <w:szCs w:val="16"/>
              </w:rPr>
              <w:t>0,2g</w:t>
            </w:r>
          </w:p>
        </w:tc>
      </w:tr>
      <w:tr>
        <w:trPr/>
        <w:tc>
          <w:tcPr>
            <w:tcW w:w="3508"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Magnesium</w:t>
            </w:r>
          </w:p>
        </w:tc>
        <w:tc>
          <w:tcPr>
            <w:tcW w:w="2939" w:type="dxa"/>
            <w:tcBorders>
              <w:left w:val="single" w:sz="2" w:space="0" w:color="000000"/>
              <w:bottom w:val="single" w:sz="2" w:space="0" w:color="000000"/>
            </w:tcBorders>
            <w:shd w:fill="auto" w:val="clear"/>
          </w:tcPr>
          <w:p>
            <w:pPr>
              <w:pStyle w:val="Tabellinnehll"/>
              <w:widowControl w:val="false"/>
              <w:spacing w:before="0" w:after="170"/>
              <w:rPr>
                <w:sz w:val="16"/>
                <w:szCs w:val="16"/>
              </w:rPr>
            </w:pPr>
            <w:r>
              <w:rPr>
                <w:sz w:val="16"/>
                <w:szCs w:val="16"/>
              </w:rPr>
              <w:t>800mg (214%)</w:t>
            </w:r>
          </w:p>
        </w:tc>
        <w:tc>
          <w:tcPr>
            <w:tcW w:w="3239" w:type="dxa"/>
            <w:tcBorders>
              <w:left w:val="single" w:sz="2" w:space="0" w:color="000000"/>
              <w:bottom w:val="single" w:sz="2" w:space="0" w:color="000000"/>
              <w:right w:val="single" w:sz="2" w:space="0" w:color="000000"/>
            </w:tcBorders>
            <w:shd w:fill="auto" w:val="clear"/>
          </w:tcPr>
          <w:p>
            <w:pPr>
              <w:pStyle w:val="Tabellinnehll"/>
              <w:widowControl w:val="false"/>
              <w:spacing w:before="0" w:after="170"/>
              <w:rPr>
                <w:sz w:val="16"/>
                <w:szCs w:val="16"/>
              </w:rPr>
            </w:pPr>
            <w:r>
              <w:rPr>
                <w:sz w:val="16"/>
                <w:szCs w:val="16"/>
              </w:rPr>
              <w:t>200mg (53%)</w:t>
            </w:r>
          </w:p>
        </w:tc>
      </w:tr>
    </w:tbl>
    <w:p>
      <w:pPr>
        <w:pStyle w:val="Pa2"/>
        <w:rPr>
          <w:rStyle w:val="A5"/>
          <w:b/>
          <w:bCs/>
          <w:caps/>
          <w:sz w:val="16"/>
          <w:szCs w:val="16"/>
          <w:lang w:val="sv-SE"/>
        </w:rPr>
      </w:pPr>
      <w:r>
        <w:rPr>
          <w:b/>
          <w:bCs/>
          <w:caps/>
          <w:sz w:val="16"/>
          <w:szCs w:val="16"/>
          <w:lang w:val="sv-SE"/>
        </w:rPr>
      </w:r>
    </w:p>
    <w:p>
      <w:pPr>
        <w:pStyle w:val="Brdtext"/>
        <w:rPr>
          <w:sz w:val="18"/>
          <w:szCs w:val="18"/>
        </w:rPr>
      </w:pPr>
      <w:r>
        <w:rPr>
          <w:sz w:val="18"/>
          <w:szCs w:val="18"/>
        </w:rPr>
      </w:r>
    </w:p>
    <w:p>
      <w:pPr>
        <w:pStyle w:val="Brdtext"/>
        <w:rPr>
          <w:sz w:val="18"/>
          <w:szCs w:val="18"/>
        </w:rPr>
      </w:pPr>
      <w:r>
        <w:rPr>
          <w:sz w:val="18"/>
          <w:szCs w:val="18"/>
        </w:rPr>
      </w:r>
    </w:p>
    <w:p>
      <w:pPr>
        <w:pStyle w:val="Rubrik4press"/>
        <w:rPr>
          <w:sz w:val="18"/>
          <w:szCs w:val="18"/>
        </w:rPr>
      </w:pPr>
      <w:r>
        <w:rPr>
          <w:sz w:val="18"/>
          <w:szCs w:val="18"/>
        </w:rPr>
        <w:t>ÖVRIGT</w:t>
      </w:r>
      <w:r>
        <w:rPr>
          <w:rStyle w:val="A5"/>
          <w:rFonts w:cs="Times New Roman"/>
          <w:b w:val="false"/>
          <w:i w:val="false"/>
          <w:caps w:val="false"/>
          <w:smallCaps w:val="false"/>
          <w:color w:val="000000"/>
          <w:spacing w:val="0"/>
          <w:sz w:val="18"/>
          <w:szCs w:val="18"/>
          <w:lang w:val="sv-SE"/>
        </w:rPr>
        <w:br/>
      </w:r>
      <w:r>
        <w:rPr>
          <w:b w:val="false"/>
          <w:i w:val="false"/>
          <w:caps w:val="false"/>
          <w:smallCaps w:val="false"/>
          <w:color w:val="000000"/>
          <w:spacing w:val="0"/>
          <w:sz w:val="18"/>
          <w:szCs w:val="18"/>
        </w:rPr>
        <w:t xml:space="preserve">Passar utmärkt för vegetarianer och veganer. </w:t>
      </w:r>
      <w:r>
        <w:rPr>
          <w:b w:val="false"/>
          <w:i/>
          <w:iCs/>
          <w:caps w:val="false"/>
          <w:smallCaps w:val="false"/>
          <w:color w:val="000000"/>
          <w:spacing w:val="0"/>
          <w:sz w:val="18"/>
          <w:szCs w:val="18"/>
        </w:rPr>
        <w:t>Innehåller socker och sötningsmedel.</w:t>
      </w:r>
    </w:p>
    <w:p>
      <w:pPr>
        <w:pStyle w:val="Tabellfrteckningrubrik"/>
        <w:tabs>
          <w:tab w:val="clear" w:pos="1304"/>
          <w:tab w:val="left" w:pos="1005" w:leader="none"/>
        </w:tabs>
        <w:rPr>
          <w:rStyle w:val="A5"/>
          <w:rFonts w:ascii="Arial" w:hAnsi="Arial" w:cs="Times New Roman"/>
          <w:sz w:val="18"/>
          <w:szCs w:val="18"/>
          <w:lang w:val="sv-SE"/>
        </w:rPr>
      </w:pPr>
      <w:r>
        <w:rPr>
          <w:rFonts w:cs="Times New Roman" w:ascii="Arial" w:hAnsi="Arial"/>
          <w:sz w:val="18"/>
          <w:szCs w:val="18"/>
          <w:lang w:val="sv-SE"/>
        </w:rPr>
      </w:r>
    </w:p>
    <w:p>
      <w:pPr>
        <w:pStyle w:val="Rubrik4press"/>
        <w:rPr>
          <w:sz w:val="18"/>
          <w:szCs w:val="18"/>
        </w:rPr>
      </w:pPr>
      <w:r>
        <w:rPr>
          <w:sz w:val="18"/>
          <w:szCs w:val="18"/>
        </w:rPr>
        <w:t>FÖRVARING</w:t>
      </w:r>
    </w:p>
    <w:p>
      <w:pPr>
        <w:pStyle w:val="Brdtextpress"/>
        <w:rPr/>
      </w:pPr>
      <w:r>
        <w:rPr>
          <w:rStyle w:val="Strong"/>
          <w:b w:val="false"/>
          <w:bCs w:val="false"/>
          <w:sz w:val="18"/>
          <w:szCs w:val="18"/>
        </w:rPr>
        <w:t>Torrt, svalt, väl förslutet och oåtkomligt för barn.</w:t>
      </w:r>
    </w:p>
    <w:p>
      <w:pPr>
        <w:pStyle w:val="Rubrik4press"/>
        <w:rPr/>
      </w:pPr>
      <w:r>
        <w:rPr>
          <w:rStyle w:val="Strong"/>
          <w:b/>
          <w:sz w:val="18"/>
          <w:szCs w:val="18"/>
        </w:rPr>
        <w:t xml:space="preserve">KOSTTILLSKOTT </w:t>
      </w:r>
    </w:p>
    <w:p>
      <w:pPr>
        <w:pStyle w:val="Brdtextpress"/>
        <w:rPr>
          <w:sz w:val="18"/>
          <w:szCs w:val="18"/>
        </w:rPr>
      </w:pPr>
      <w:r>
        <w:rPr>
          <w:sz w:val="18"/>
          <w:szCs w:val="18"/>
        </w:rPr>
        <w:t>Rekommenderad dagsdos ska ej överskridas. Bör inte användas som alternativ till en varierad kost. Förvaras utom räckhåll för barn.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b w:val="false"/>
          <w:bCs w:val="false"/>
          <w:sz w:val="20"/>
          <w:szCs w:val="20"/>
        </w:rPr>
        <w:br/>
        <w:br/>
        <w:br/>
        <w:br/>
        <w:tab/>
      </w:r>
    </w:p>
    <w:p>
      <w:pPr>
        <w:pStyle w:val="Tabellfrteckningrubrik"/>
        <w:spacing w:before="240" w:after="120"/>
        <w:rPr/>
      </w:pPr>
      <w:r>
        <w:rPr/>
      </w:r>
    </w:p>
    <w:sectPr>
      <w:headerReference w:type="default" r:id="rId2"/>
      <w:footerReference w:type="default" r:id="rId3"/>
      <w:type w:val="nextPage"/>
      <w:pgSz w:w="11906" w:h="16838"/>
      <w:pgMar w:left="1440" w:right="1440" w:gutter="0" w:header="708" w:top="1440" w:footer="1440" w:bottom="19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rPr/>
    </w:pPr>
    <w:r>
      <w:rPr>
        <w:sz w:val="16"/>
        <w:szCs w:val="16"/>
      </w:rPr>
      <w:t>Fairing Sweden AB     Pingstvägen 3    17761 Järfälla,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2024-02-07</w:t>
    </w:r>
  </w:p>
  <w:p>
    <w:pPr>
      <w:pStyle w:val="Sidhuvud"/>
      <w:rPr/>
    </w:pPr>
    <w:r>
      <w:rPr/>
      <w:tab/>
      <w:tab/>
      <w:t>Produktblad: KCG Performance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287257"/>
    <w:rPr/>
  </w:style>
  <w:style w:type="character" w:styleId="SidfotChar" w:customStyle="1">
    <w:name w:val="Sidfot Char"/>
    <w:basedOn w:val="DefaultParagraphFont"/>
    <w:uiPriority w:val="99"/>
    <w:qFormat/>
    <w:rsid w:val="00287257"/>
    <w:rPr/>
  </w:style>
  <w:style w:type="character" w:styleId="Strong">
    <w:name w:val="Strong"/>
    <w:qFormat/>
    <w:rPr>
      <w:b/>
      <w:bCs/>
    </w:rPr>
  </w:style>
  <w:style w:type="character" w:styleId="Internetlnk">
    <w:name w:val="Hyperli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A4">
    <w:name w:val="A4"/>
    <w:basedOn w:val="Default"/>
    <w:qFormat/>
    <w:rPr>
      <w:sz w:val="14"/>
      <w:szCs w:val="14"/>
    </w:rPr>
  </w:style>
  <w:style w:type="character" w:styleId="Punktuppstllning">
    <w:name w:val="Punktuppställning"/>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Sakregisterrubrik">
    <w:name w:val="Index Heading"/>
    <w:basedOn w:val="Rubrik"/>
    <w:pPr/>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fals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paragraph" w:styleId="Horisontelllinje">
    <w:name w:val="Horisontell linje"/>
    <w:basedOn w:val="Normal"/>
    <w:next w:val="Brdtext"/>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4221</TotalTime>
  <Application>LibreOffice/7.5.1.2$Windows_X86_64 LibreOffice_project/fcbaee479e84c6cd81291587d2ee68cba099e129</Application>
  <AppVersion>15.0000</AppVersion>
  <Pages>3</Pages>
  <Words>534</Words>
  <Characters>3266</Characters>
  <CharactersWithSpaces>3819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2020-10-08T11:40:17Z</cp:lastPrinted>
  <dcterms:modified xsi:type="dcterms:W3CDTF">2024-02-26T10:08:25Z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