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1press"/>
        <w:jc w:val="left"/>
        <w:rPr/>
      </w:pPr>
      <w:r>
        <w:rPr>
          <w:rStyle w:val="Starktbetonad"/>
        </w:rPr>
        <w:t xml:space="preserve">Nitrat, </w:t>
      </w:r>
      <w:r>
        <w:rPr>
          <w:rStyle w:val="Starktbetonad"/>
          <w:b w:val="false"/>
          <w:bCs w:val="false"/>
          <w:i w:val="false"/>
          <w:iCs w:val="false"/>
        </w:rPr>
        <w:t>120 kapslar</w:t>
      </w:r>
    </w:p>
    <w:p>
      <w:pPr>
        <w:pStyle w:val="Rubrik2press"/>
        <w:jc w:val="left"/>
        <w:rPr/>
      </w:pPr>
      <w:r>
        <w:rPr>
          <w:rStyle w:val="Starktbetonad"/>
          <w:sz w:val="20"/>
          <w:szCs w:val="20"/>
        </w:rPr>
        <w:t xml:space="preserve">Art nr. </w:t>
      </w:r>
      <w:r>
        <w:rPr>
          <w:rStyle w:val="Starktbetonad"/>
          <w:b w:val="false"/>
          <w:bCs w:val="false"/>
          <w:sz w:val="20"/>
          <w:szCs w:val="20"/>
        </w:rPr>
        <w:t>324</w:t>
      </w:r>
    </w:p>
    <w:p>
      <w:pPr>
        <w:pStyle w:val="Rubrik2press"/>
        <w:jc w:val="left"/>
        <w:rPr>
          <w:rStyle w:val="Betonad"/>
          <w:rFonts w:ascii="Lato;sans-serif" w:hAnsi="Lato;sans-serif"/>
          <w:b/>
          <w:b/>
          <w:bCs/>
          <w:i w:val="false"/>
          <w:i w:val="false"/>
          <w:caps w:val="false"/>
          <w:smallCaps w:val="false"/>
          <w:color w:val="555555"/>
          <w:spacing w:val="0"/>
          <w:sz w:val="21"/>
          <w:szCs w:val="21"/>
        </w:rPr>
      </w:pPr>
      <w:r>
        <w:rPr>
          <w:rFonts w:ascii="Lato;sans-serif" w:hAnsi="Lato;sans-serif"/>
          <w:b/>
          <w:bCs/>
          <w:i w:val="false"/>
          <w:caps w:val="false"/>
          <w:smallCaps w:val="false"/>
          <w:color w:val="555555"/>
          <w:spacing w:val="0"/>
          <w:sz w:val="21"/>
          <w:szCs w:val="21"/>
        </w:rPr>
      </w:r>
    </w:p>
    <w:p>
      <w:pPr>
        <w:pStyle w:val="Brdtextpress"/>
        <w:rPr/>
      </w:pPr>
      <w:r>
        <w:rPr>
          <w:rStyle w:val="Starktbetonad"/>
          <w:rFonts w:ascii="Arial" w:hAnsi="Arial"/>
          <w:i/>
          <w:iCs/>
          <w:sz w:val="20"/>
          <w:szCs w:val="20"/>
        </w:rPr>
        <w:t>Endurance</w:t>
      </w:r>
    </w:p>
    <w:p>
      <w:pPr>
        <w:pStyle w:val="Normal"/>
        <w:rPr>
          <w:rFonts w:ascii="Arial" w:hAnsi="Arial"/>
          <w:sz w:val="20"/>
          <w:szCs w:val="20"/>
        </w:rPr>
      </w:pPr>
      <w:r>
        <w:rPr>
          <w:rFonts w:ascii="Arial" w:hAnsi="Arial"/>
          <w:b/>
          <w:bCs/>
          <w:sz w:val="20"/>
          <w:szCs w:val="20"/>
        </w:rPr>
        <w:t>Nitrat är ett av de näringsämnen som under de senaste årens forskning visat sig ha den starkaste prestationshöjande effekten för konditions- och uthållighetsidrott.</w:t>
      </w:r>
      <w:r>
        <w:rPr>
          <w:rFonts w:ascii="Arial" w:hAnsi="Arial"/>
          <w:sz w:val="20"/>
          <w:szCs w:val="20"/>
        </w:rPr>
        <w:t xml:space="preserve"> Själva processen som ger en prestationshöjande effekt är att nitrat i kosten först omvandlas till nitrit som sen i nästa steg blir kväveoxid. Kväveoxiden i sin tur gör att blodkärlen vidgas och blodtillförseln till de arbetande musklerna underlättas. Dessutom förbättrar nitrat effektiviteten ute i mitokondrierna, som brukar kallas kroppens kraftverk, där fett och kolhydrater omvandlas till energi.</w:t>
      </w:r>
    </w:p>
    <w:p>
      <w:pPr>
        <w:pStyle w:val="Normal"/>
        <w:rPr>
          <w:rFonts w:ascii="Arial" w:hAnsi="Arial"/>
          <w:sz w:val="20"/>
          <w:szCs w:val="20"/>
        </w:rPr>
      </w:pPr>
      <w:r>
        <w:rPr>
          <w:rFonts w:ascii="Arial" w:hAnsi="Arial"/>
          <w:sz w:val="20"/>
          <w:szCs w:val="20"/>
        </w:rPr>
        <w:t>Effekten blir att du med hjälp av nitrat förbrukar mindre syre på en viss given intensitet. Det vill säga du får lite lägre puls och andning för att hålla en viss fart, vilket i förlängningen betyder att du också kan hålla en högre intensitet på ditt eget maximala syreupptag. Oavsett om du tävlar i en idrott där du håller mycket hög intensitet under några minuter eller en där du ska hålla ett så högt tempo som möjligt i många timmar kommer du därför ha nytta av ett högt nitratintag inför loppet.</w:t>
      </w:r>
    </w:p>
    <w:p>
      <w:pPr>
        <w:pStyle w:val="Normal"/>
        <w:rPr>
          <w:rFonts w:ascii="Arial" w:hAnsi="Arial"/>
          <w:sz w:val="20"/>
          <w:szCs w:val="20"/>
        </w:rPr>
      </w:pPr>
      <w:r>
        <w:rPr>
          <w:rFonts w:ascii="Arial" w:hAnsi="Arial"/>
          <w:sz w:val="20"/>
          <w:szCs w:val="20"/>
        </w:rPr>
        <w:t>I vanlig mat hittar vi främst nitrat i grönsaker som spenat, ruccola och rödbetor. Du behöver dock äta riktigt stora portioner med spenat eller ruccola eller dricka över 5 dl rödbetsjuice per dag för att få i dig tillräcklig mängd nitrat för full effekt. Något som kan vara både bökigt och svårt i kombination med övrig uppladdning inför loppet. Detta gör att de flesta föredrar att säkra upp ett tillräckligt högt intag av nitrat för en prestationshöjande effekt via kosttillskott i koncentrerad form.</w:t>
      </w:r>
    </w:p>
    <w:p>
      <w:pPr>
        <w:pStyle w:val="Normal"/>
        <w:rPr/>
      </w:pPr>
      <w:r>
        <w:rPr>
          <w:rFonts w:ascii="Arial" w:hAnsi="Arial"/>
          <w:b w:val="false"/>
          <w:bCs w:val="false"/>
          <w:sz w:val="20"/>
          <w:szCs w:val="20"/>
        </w:rPr>
        <w:t>Fairing Nitrat innehåller en blandning av nitrat från rödbetor och spenat och är helt vegansk. Fairing Nitrat kommer i praktiska kapslar där du lätt kan dosera efter just dina behov. Förutom att en större kropp som vanligt behöver ett lite högre intag har studier visat att vältränade personer med riktigt högt syreupptag kan behöva ett lite högre nitratintag för att få maximalt prestationshöjande effekt. Nitrat fungerar både på kort och lite längre sikt. För bästa effekt rekommenderas att du laddar upp med nitrat dagligen 3-6 dagar innan tävling med en sista dos runt 2 timmar innan start.</w:t>
        <w:br/>
      </w:r>
    </w:p>
    <w:p>
      <w:pPr>
        <w:pStyle w:val="Brdtextpress"/>
        <w:numPr>
          <w:ilvl w:val="0"/>
          <w:numId w:val="2"/>
        </w:numPr>
        <w:tabs>
          <w:tab w:val="clear" w:pos="1304"/>
          <w:tab w:val="left" w:pos="0" w:leader="none"/>
        </w:tabs>
        <w:ind w:left="707" w:hanging="0"/>
        <w:rPr>
          <w:b/>
          <w:b/>
          <w:bCs/>
        </w:rPr>
      </w:pPr>
      <w:r>
        <w:rPr>
          <w:b/>
          <w:bCs/>
          <w:sz w:val="20"/>
          <w:szCs w:val="20"/>
        </w:rPr>
        <w:t xml:space="preserve"> </w:t>
      </w:r>
      <w:r>
        <w:rPr>
          <w:b/>
          <w:bCs/>
          <w:sz w:val="20"/>
          <w:szCs w:val="20"/>
        </w:rPr>
        <w:t>Hög koncentration av nitrat ifrån spenat &amp; rödbeta</w:t>
      </w:r>
    </w:p>
    <w:p>
      <w:pPr>
        <w:pStyle w:val="Brdtextpress"/>
        <w:numPr>
          <w:ilvl w:val="0"/>
          <w:numId w:val="2"/>
        </w:numPr>
        <w:tabs>
          <w:tab w:val="clear" w:pos="1304"/>
          <w:tab w:val="left" w:pos="0" w:leader="none"/>
        </w:tabs>
        <w:ind w:left="707" w:hanging="0"/>
        <w:rPr>
          <w:b/>
          <w:b/>
          <w:bCs/>
        </w:rPr>
      </w:pPr>
      <w:r>
        <w:rPr>
          <w:b/>
          <w:bCs/>
          <w:sz w:val="20"/>
          <w:szCs w:val="20"/>
        </w:rPr>
        <w:t xml:space="preserve"> </w:t>
      </w:r>
      <w:r>
        <w:rPr>
          <w:b/>
          <w:bCs/>
          <w:sz w:val="20"/>
          <w:szCs w:val="20"/>
        </w:rPr>
        <w:t>Främjar din uthållighet</w:t>
      </w:r>
    </w:p>
    <w:p>
      <w:pPr>
        <w:pStyle w:val="Brdtextpress"/>
        <w:widowControl w:val="false"/>
        <w:numPr>
          <w:ilvl w:val="0"/>
          <w:numId w:val="2"/>
        </w:numPr>
        <w:tabs>
          <w:tab w:val="clear" w:pos="1304"/>
          <w:tab w:val="left" w:pos="0" w:leader="none"/>
        </w:tabs>
        <w:suppressAutoHyphens w:val="true"/>
        <w:overflowPunct w:val="true"/>
        <w:bidi w:val="0"/>
        <w:spacing w:lineRule="atLeast" w:line="280" w:before="0" w:after="113"/>
        <w:ind w:left="737" w:right="0" w:hanging="0"/>
        <w:jc w:val="left"/>
        <w:rPr/>
      </w:pPr>
      <w:r>
        <w:rPr>
          <w:b/>
          <w:bCs/>
          <w:sz w:val="20"/>
          <w:szCs w:val="20"/>
        </w:rPr>
        <w:t xml:space="preserve"> </w:t>
      </w:r>
      <w:r>
        <w:rPr>
          <w:b/>
          <w:bCs/>
          <w:sz w:val="20"/>
          <w:szCs w:val="20"/>
        </w:rPr>
        <w:t>Vegansäker</w:t>
      </w:r>
    </w:p>
    <w:p>
      <w:pPr>
        <w:pStyle w:val="Tabellfrteckningrubrik"/>
        <w:rPr>
          <w:rStyle w:val="Starktbetonad"/>
          <w:rFonts w:ascii="Arial" w:hAnsi="Arial"/>
          <w:b/>
          <w:b/>
          <w:bCs/>
          <w:i w:val="false"/>
          <w:i w:val="false"/>
          <w:caps w:val="false"/>
          <w:smallCaps w:val="false"/>
          <w:color w:val="auto"/>
          <w:spacing w:val="0"/>
          <w:sz w:val="20"/>
          <w:szCs w:val="20"/>
        </w:rPr>
      </w:pPr>
      <w:r>
        <w:rPr>
          <w:rFonts w:ascii="Arial" w:hAnsi="Arial"/>
          <w:b/>
          <w:bCs/>
          <w:i w:val="false"/>
          <w:caps w:val="false"/>
          <w:smallCaps w:val="false"/>
          <w:color w:val="auto"/>
          <w:spacing w:val="0"/>
          <w:sz w:val="20"/>
          <w:szCs w:val="20"/>
        </w:rPr>
      </w:r>
    </w:p>
    <w:p>
      <w:pPr>
        <w:pStyle w:val="Brdtextpress"/>
        <w:rPr/>
      </w:pPr>
      <w:r>
        <w:rPr>
          <w:b/>
          <w:bCs/>
          <w:sz w:val="20"/>
          <w:szCs w:val="20"/>
        </w:rPr>
        <w:t>NETTOVIKT</w:t>
        <w:br/>
      </w:r>
      <w:r>
        <w:rPr>
          <w:b w:val="false"/>
          <w:bCs w:val="false"/>
          <w:sz w:val="20"/>
          <w:szCs w:val="20"/>
        </w:rPr>
        <w:t>120 kapslar</w:t>
      </w:r>
      <w:r>
        <w:rPr>
          <w:sz w:val="20"/>
          <w:szCs w:val="20"/>
        </w:rPr>
        <w:br/>
      </w:r>
      <w:r>
        <w:rPr>
          <w:b/>
          <w:bCs/>
          <w:sz w:val="20"/>
          <w:szCs w:val="20"/>
        </w:rPr>
        <w:br/>
        <w:t>DOSERINGSSTORLEK</w:t>
        <w:br/>
      </w:r>
      <w:r>
        <w:rPr>
          <w:b w:val="false"/>
          <w:bCs w:val="false"/>
          <w:sz w:val="20"/>
          <w:szCs w:val="20"/>
        </w:rPr>
        <w:t>1 – 3 kapslar</w:t>
      </w:r>
    </w:p>
    <w:p>
      <w:pPr>
        <w:pStyle w:val="Brdtextpress"/>
        <w:rPr/>
      </w:pPr>
      <w:r>
        <w:rPr>
          <w:b/>
          <w:bCs/>
          <w:sz w:val="20"/>
          <w:szCs w:val="20"/>
        </w:rPr>
        <w:t xml:space="preserve">DOSERING </w:t>
        <w:br/>
      </w:r>
      <w:r>
        <w:rPr>
          <w:b w:val="false"/>
          <w:bCs w:val="false"/>
          <w:sz w:val="20"/>
          <w:szCs w:val="20"/>
        </w:rPr>
        <w:t>1 kapsel 1-3 ggr dagligen.</w:t>
      </w:r>
      <w:r>
        <w:rPr>
          <w:b w:val="false"/>
          <w:bCs w:val="false"/>
          <w:i w:val="false"/>
          <w:caps w:val="false"/>
          <w:smallCaps w:val="false"/>
          <w:color w:val="auto"/>
          <w:spacing w:val="0"/>
          <w:sz w:val="20"/>
          <w:szCs w:val="20"/>
        </w:rPr>
        <w:t xml:space="preserve"> </w:t>
      </w:r>
    </w:p>
    <w:p>
      <w:pPr>
        <w:pStyle w:val="Brdtextpress"/>
        <w:rPr/>
      </w:pPr>
      <w:r>
        <w:rPr>
          <w:b/>
          <w:bCs/>
          <w:sz w:val="20"/>
          <w:szCs w:val="20"/>
        </w:rPr>
        <w:t xml:space="preserve">INGREDIENSER </w:t>
      </w:r>
      <w:r>
        <w:rPr>
          <w:b w:val="false"/>
          <w:bCs/>
          <w:i w:val="false"/>
          <w:caps w:val="false"/>
          <w:smallCaps w:val="false"/>
          <w:spacing w:val="0"/>
          <w:sz w:val="20"/>
          <w:szCs w:val="20"/>
        </w:rPr>
        <w:br/>
        <w:t>Spenatpulver (Spinacia oleracea), rödbetspulver (Beta vulgaris), emulgeringsmedel (magnesiumsalter av fettsyror), klumpförebyggande medel (kiseldioxid), vegetabilisk kapsel (cellulosa).</w:t>
      </w:r>
      <w:r>
        <w:rPr>
          <w:b w:val="false"/>
          <w:bCs/>
          <w:i w:val="false"/>
          <w:caps w:val="false"/>
          <w:smallCaps w:val="false"/>
          <w:color w:val="auto"/>
          <w:spacing w:val="0"/>
          <w:sz w:val="20"/>
          <w:szCs w:val="20"/>
        </w:rPr>
        <w:t xml:space="preserve">  </w:t>
      </w:r>
    </w:p>
    <w:p>
      <w:pPr>
        <w:pStyle w:val="Tabellfrteckningrubrik"/>
        <w:rPr>
          <w:rFonts w:ascii="Arial" w:hAnsi="Arial"/>
          <w:b/>
          <w:b/>
          <w:bCs/>
        </w:rPr>
      </w:pPr>
      <w:r>
        <w:rPr>
          <w:rFonts w:ascii="Arial" w:hAnsi="Arial"/>
          <w:b/>
          <w:bCs/>
          <w:i w:val="false"/>
          <w:caps w:val="false"/>
          <w:smallCaps w:val="false"/>
          <w:color w:val="auto"/>
          <w:spacing w:val="0"/>
          <w:sz w:val="20"/>
          <w:szCs w:val="20"/>
        </w:rPr>
        <w:br/>
        <w:br/>
        <w:br/>
        <w:t>NÄRINGSINNEHÅLL:</w:t>
      </w:r>
    </w:p>
    <w:tbl>
      <w:tblPr>
        <w:tblW w:w="5550" w:type="dxa"/>
        <w:jc w:val="left"/>
        <w:tblInd w:w="60" w:type="dxa"/>
        <w:tblCellMar>
          <w:top w:w="55" w:type="dxa"/>
          <w:left w:w="55" w:type="dxa"/>
          <w:bottom w:w="55" w:type="dxa"/>
          <w:right w:w="55" w:type="dxa"/>
        </w:tblCellMar>
      </w:tblPr>
      <w:tblGrid>
        <w:gridCol w:w="2264"/>
        <w:gridCol w:w="960"/>
        <w:gridCol w:w="1200"/>
        <w:gridCol w:w="1125"/>
      </w:tblGrid>
      <w:tr>
        <w:trPr/>
        <w:tc>
          <w:tcPr>
            <w:tcW w:w="2264" w:type="dxa"/>
            <w:tcBorders>
              <w:top w:val="single" w:sz="2" w:space="0" w:color="000000"/>
              <w:left w:val="single" w:sz="2" w:space="0" w:color="000000"/>
              <w:bottom w:val="single" w:sz="2" w:space="0" w:color="000000"/>
            </w:tcBorders>
            <w:shd w:fill="auto" w:val="clear"/>
          </w:tcPr>
          <w:p>
            <w:pPr>
              <w:pStyle w:val="Tabellinnehll"/>
              <w:spacing w:before="0" w:after="160"/>
              <w:rPr>
                <w:rFonts w:ascii="Arial" w:hAnsi="Arial"/>
                <w:b/>
                <w:b/>
                <w:bCs/>
                <w:sz w:val="20"/>
                <w:szCs w:val="20"/>
              </w:rPr>
            </w:pPr>
            <w:r>
              <w:rPr>
                <w:rFonts w:ascii="Arial" w:hAnsi="Arial"/>
                <w:b/>
                <w:bCs/>
                <w:sz w:val="20"/>
                <w:szCs w:val="20"/>
              </w:rPr>
              <w:t>Näringsinnehåll per</w:t>
            </w:r>
          </w:p>
        </w:tc>
        <w:tc>
          <w:tcPr>
            <w:tcW w:w="960" w:type="dxa"/>
            <w:tcBorders>
              <w:top w:val="single" w:sz="2" w:space="0" w:color="000000"/>
              <w:left w:val="single" w:sz="2" w:space="0" w:color="000000"/>
              <w:bottom w:val="single" w:sz="2" w:space="0" w:color="000000"/>
            </w:tcBorders>
            <w:shd w:fill="auto" w:val="clear"/>
          </w:tcPr>
          <w:p>
            <w:pPr>
              <w:pStyle w:val="Tabellinnehll"/>
              <w:spacing w:before="0" w:after="160"/>
              <w:rPr>
                <w:rFonts w:ascii="Arial" w:hAnsi="Arial"/>
                <w:b/>
                <w:b/>
                <w:bCs/>
                <w:sz w:val="20"/>
                <w:szCs w:val="20"/>
              </w:rPr>
            </w:pPr>
            <w:r>
              <w:rPr>
                <w:rFonts w:ascii="Arial" w:hAnsi="Arial"/>
                <w:b/>
                <w:bCs/>
                <w:sz w:val="20"/>
                <w:szCs w:val="20"/>
              </w:rPr>
              <w:t>1 kapsel</w:t>
            </w:r>
          </w:p>
        </w:tc>
        <w:tc>
          <w:tcPr>
            <w:tcW w:w="1200" w:type="dxa"/>
            <w:tcBorders>
              <w:top w:val="single" w:sz="2" w:space="0" w:color="000000"/>
              <w:left w:val="single" w:sz="2" w:space="0" w:color="000000"/>
              <w:bottom w:val="single" w:sz="2" w:space="0" w:color="000000"/>
            </w:tcBorders>
            <w:shd w:fill="auto" w:val="clear"/>
          </w:tcPr>
          <w:p>
            <w:pPr>
              <w:pStyle w:val="Tabellinnehll"/>
              <w:spacing w:before="0" w:after="160"/>
              <w:rPr>
                <w:rFonts w:ascii="Arial" w:hAnsi="Arial"/>
                <w:b/>
                <w:b/>
                <w:bCs/>
                <w:sz w:val="20"/>
                <w:szCs w:val="20"/>
              </w:rPr>
            </w:pPr>
            <w:r>
              <w:rPr>
                <w:rFonts w:ascii="Arial" w:hAnsi="Arial"/>
                <w:b/>
                <w:bCs/>
                <w:sz w:val="20"/>
                <w:szCs w:val="20"/>
              </w:rPr>
              <w:t>2 kapslar</w:t>
            </w:r>
          </w:p>
        </w:tc>
        <w:tc>
          <w:tcPr>
            <w:tcW w:w="1125" w:type="dxa"/>
            <w:tcBorders>
              <w:top w:val="single" w:sz="2" w:space="0" w:color="000000"/>
              <w:left w:val="single" w:sz="2" w:space="0" w:color="000000"/>
              <w:bottom w:val="single" w:sz="2" w:space="0" w:color="000000"/>
              <w:right w:val="single" w:sz="2" w:space="0" w:color="000000"/>
            </w:tcBorders>
            <w:shd w:fill="auto" w:val="clear"/>
          </w:tcPr>
          <w:p>
            <w:pPr>
              <w:pStyle w:val="Tabellinnehll"/>
              <w:spacing w:before="0" w:after="160"/>
              <w:rPr>
                <w:rFonts w:ascii="Arial" w:hAnsi="Arial"/>
                <w:b/>
                <w:b/>
                <w:bCs/>
                <w:sz w:val="20"/>
                <w:szCs w:val="20"/>
              </w:rPr>
            </w:pPr>
            <w:r>
              <w:rPr>
                <w:rFonts w:ascii="Arial" w:hAnsi="Arial"/>
                <w:b/>
                <w:bCs/>
                <w:sz w:val="20"/>
                <w:szCs w:val="20"/>
              </w:rPr>
              <w:t>3 kapslar</w:t>
            </w:r>
          </w:p>
        </w:tc>
      </w:tr>
      <w:tr>
        <w:trPr/>
        <w:tc>
          <w:tcPr>
            <w:tcW w:w="2264" w:type="dxa"/>
            <w:tcBorders>
              <w:left w:val="single" w:sz="2" w:space="0" w:color="000000"/>
              <w:bottom w:val="single" w:sz="2" w:space="0" w:color="000000"/>
            </w:tcBorders>
            <w:shd w:fill="auto" w:val="clear"/>
          </w:tcPr>
          <w:p>
            <w:pPr>
              <w:pStyle w:val="Tabellinnehll"/>
              <w:spacing w:before="0" w:after="160"/>
              <w:rPr>
                <w:rFonts w:ascii="Arial" w:hAnsi="Arial"/>
                <w:sz w:val="20"/>
                <w:szCs w:val="20"/>
              </w:rPr>
            </w:pPr>
            <w:r>
              <w:rPr>
                <w:rFonts w:ascii="Arial" w:hAnsi="Arial"/>
                <w:sz w:val="20"/>
                <w:szCs w:val="20"/>
              </w:rPr>
              <w:t>Spenatpulver</w:t>
            </w:r>
          </w:p>
        </w:tc>
        <w:tc>
          <w:tcPr>
            <w:tcW w:w="960" w:type="dxa"/>
            <w:tcBorders>
              <w:left w:val="single" w:sz="2" w:space="0" w:color="000000"/>
              <w:bottom w:val="single" w:sz="2" w:space="0" w:color="000000"/>
            </w:tcBorders>
            <w:shd w:fill="auto" w:val="clear"/>
          </w:tcPr>
          <w:p>
            <w:pPr>
              <w:pStyle w:val="Tabellinnehll"/>
              <w:spacing w:before="0" w:after="160"/>
              <w:rPr>
                <w:rFonts w:ascii="Arial" w:hAnsi="Arial"/>
                <w:sz w:val="20"/>
                <w:szCs w:val="20"/>
              </w:rPr>
            </w:pPr>
            <w:r>
              <w:rPr>
                <w:rFonts w:ascii="Arial" w:hAnsi="Arial"/>
                <w:sz w:val="20"/>
                <w:szCs w:val="20"/>
              </w:rPr>
              <w:t>350 mg</w:t>
            </w:r>
          </w:p>
        </w:tc>
        <w:tc>
          <w:tcPr>
            <w:tcW w:w="1200" w:type="dxa"/>
            <w:tcBorders>
              <w:left w:val="single" w:sz="2" w:space="0" w:color="000000"/>
              <w:bottom w:val="single" w:sz="2" w:space="0" w:color="000000"/>
            </w:tcBorders>
            <w:shd w:fill="auto" w:val="clear"/>
          </w:tcPr>
          <w:p>
            <w:pPr>
              <w:pStyle w:val="Tabellinnehll"/>
              <w:spacing w:before="0" w:after="160"/>
              <w:rPr>
                <w:rFonts w:ascii="Arial" w:hAnsi="Arial"/>
                <w:sz w:val="20"/>
                <w:szCs w:val="20"/>
              </w:rPr>
            </w:pPr>
            <w:r>
              <w:rPr>
                <w:rFonts w:ascii="Arial" w:hAnsi="Arial"/>
                <w:sz w:val="20"/>
                <w:szCs w:val="20"/>
              </w:rPr>
              <w:t>700 mg</w:t>
            </w:r>
          </w:p>
        </w:tc>
        <w:tc>
          <w:tcPr>
            <w:tcW w:w="1125" w:type="dxa"/>
            <w:tcBorders>
              <w:left w:val="single" w:sz="2" w:space="0" w:color="000000"/>
              <w:bottom w:val="single" w:sz="2" w:space="0" w:color="000000"/>
              <w:right w:val="single" w:sz="2" w:space="0" w:color="000000"/>
            </w:tcBorders>
            <w:shd w:fill="auto" w:val="clear"/>
          </w:tcPr>
          <w:p>
            <w:pPr>
              <w:pStyle w:val="Tabellinnehll"/>
              <w:spacing w:before="0" w:after="160"/>
              <w:rPr>
                <w:rFonts w:ascii="Arial" w:hAnsi="Arial"/>
                <w:sz w:val="20"/>
                <w:szCs w:val="20"/>
              </w:rPr>
            </w:pPr>
            <w:r>
              <w:rPr>
                <w:rFonts w:ascii="Arial" w:hAnsi="Arial"/>
                <w:sz w:val="20"/>
                <w:szCs w:val="20"/>
              </w:rPr>
              <w:t>1050 mg</w:t>
            </w:r>
          </w:p>
        </w:tc>
      </w:tr>
      <w:tr>
        <w:trPr/>
        <w:tc>
          <w:tcPr>
            <w:tcW w:w="2264" w:type="dxa"/>
            <w:tcBorders>
              <w:left w:val="single" w:sz="2" w:space="0" w:color="000000"/>
              <w:bottom w:val="single" w:sz="2" w:space="0" w:color="000000"/>
            </w:tcBorders>
            <w:shd w:fill="auto" w:val="clear"/>
          </w:tcPr>
          <w:p>
            <w:pPr>
              <w:pStyle w:val="Tabellinnehll"/>
              <w:spacing w:before="0" w:after="160"/>
              <w:rPr>
                <w:rFonts w:ascii="Arial" w:hAnsi="Arial"/>
                <w:sz w:val="20"/>
                <w:szCs w:val="20"/>
              </w:rPr>
            </w:pPr>
            <w:r>
              <w:rPr>
                <w:rFonts w:ascii="Arial" w:hAnsi="Arial"/>
                <w:sz w:val="20"/>
                <w:szCs w:val="20"/>
              </w:rPr>
              <w:t>Rödbetspulver</w:t>
            </w:r>
          </w:p>
        </w:tc>
        <w:tc>
          <w:tcPr>
            <w:tcW w:w="960" w:type="dxa"/>
            <w:tcBorders>
              <w:left w:val="single" w:sz="2" w:space="0" w:color="000000"/>
              <w:bottom w:val="single" w:sz="2" w:space="0" w:color="000000"/>
            </w:tcBorders>
            <w:shd w:fill="auto" w:val="clear"/>
          </w:tcPr>
          <w:p>
            <w:pPr>
              <w:pStyle w:val="Tabellinnehll"/>
              <w:spacing w:before="0" w:after="160"/>
              <w:rPr>
                <w:rFonts w:ascii="Arial" w:hAnsi="Arial"/>
                <w:sz w:val="20"/>
                <w:szCs w:val="20"/>
              </w:rPr>
            </w:pPr>
            <w:r>
              <w:rPr>
                <w:rFonts w:ascii="Arial" w:hAnsi="Arial"/>
                <w:sz w:val="20"/>
                <w:szCs w:val="20"/>
              </w:rPr>
              <w:t>350 mg</w:t>
            </w:r>
          </w:p>
        </w:tc>
        <w:tc>
          <w:tcPr>
            <w:tcW w:w="1200" w:type="dxa"/>
            <w:tcBorders>
              <w:left w:val="single" w:sz="2" w:space="0" w:color="000000"/>
              <w:bottom w:val="single" w:sz="2" w:space="0" w:color="000000"/>
            </w:tcBorders>
            <w:shd w:fill="auto" w:val="clear"/>
          </w:tcPr>
          <w:p>
            <w:pPr>
              <w:pStyle w:val="Tabellinnehll"/>
              <w:spacing w:before="0" w:after="160"/>
              <w:rPr>
                <w:rFonts w:ascii="Arial" w:hAnsi="Arial"/>
                <w:sz w:val="20"/>
                <w:szCs w:val="20"/>
              </w:rPr>
            </w:pPr>
            <w:r>
              <w:rPr>
                <w:rFonts w:ascii="Arial" w:hAnsi="Arial"/>
                <w:sz w:val="20"/>
                <w:szCs w:val="20"/>
              </w:rPr>
              <w:t>700 mg</w:t>
            </w:r>
          </w:p>
        </w:tc>
        <w:tc>
          <w:tcPr>
            <w:tcW w:w="1125" w:type="dxa"/>
            <w:tcBorders>
              <w:left w:val="single" w:sz="2" w:space="0" w:color="000000"/>
              <w:bottom w:val="single" w:sz="2" w:space="0" w:color="000000"/>
              <w:right w:val="single" w:sz="2" w:space="0" w:color="000000"/>
            </w:tcBorders>
            <w:shd w:fill="auto" w:val="clear"/>
          </w:tcPr>
          <w:p>
            <w:pPr>
              <w:pStyle w:val="Tabellinnehll"/>
              <w:spacing w:before="0" w:after="160"/>
              <w:rPr>
                <w:rFonts w:ascii="Arial" w:hAnsi="Arial"/>
                <w:sz w:val="20"/>
                <w:szCs w:val="20"/>
              </w:rPr>
            </w:pPr>
            <w:r>
              <w:rPr>
                <w:rFonts w:ascii="Arial" w:hAnsi="Arial"/>
                <w:sz w:val="20"/>
                <w:szCs w:val="20"/>
              </w:rPr>
              <w:t>1050 mg</w:t>
            </w:r>
          </w:p>
        </w:tc>
      </w:tr>
      <w:tr>
        <w:trPr/>
        <w:tc>
          <w:tcPr>
            <w:tcW w:w="2264" w:type="dxa"/>
            <w:tcBorders>
              <w:left w:val="single" w:sz="2" w:space="0" w:color="000000"/>
              <w:bottom w:val="single" w:sz="2" w:space="0" w:color="000000"/>
            </w:tcBorders>
            <w:shd w:fill="auto" w:val="clear"/>
          </w:tcPr>
          <w:p>
            <w:pPr>
              <w:pStyle w:val="Tabellinnehll"/>
              <w:spacing w:before="0" w:after="160"/>
              <w:rPr>
                <w:rFonts w:ascii="Arial" w:hAnsi="Arial"/>
                <w:sz w:val="20"/>
                <w:szCs w:val="20"/>
              </w:rPr>
            </w:pPr>
            <w:r>
              <w:rPr>
                <w:rFonts w:ascii="Arial" w:hAnsi="Arial"/>
                <w:sz w:val="20"/>
                <w:szCs w:val="20"/>
              </w:rPr>
              <w:t>Nitrat ifrån olika källor</w:t>
            </w:r>
          </w:p>
        </w:tc>
        <w:tc>
          <w:tcPr>
            <w:tcW w:w="960" w:type="dxa"/>
            <w:tcBorders>
              <w:left w:val="single" w:sz="2" w:space="0" w:color="000000"/>
              <w:bottom w:val="single" w:sz="2" w:space="0" w:color="000000"/>
            </w:tcBorders>
            <w:shd w:fill="auto" w:val="clear"/>
          </w:tcPr>
          <w:p>
            <w:pPr>
              <w:pStyle w:val="Tabellinnehll"/>
              <w:spacing w:before="0" w:after="160"/>
              <w:rPr>
                <w:rFonts w:ascii="Arial" w:hAnsi="Arial"/>
                <w:sz w:val="20"/>
                <w:szCs w:val="20"/>
              </w:rPr>
            </w:pPr>
            <w:r>
              <w:rPr>
                <w:rFonts w:ascii="Arial" w:hAnsi="Arial"/>
                <w:sz w:val="20"/>
                <w:szCs w:val="20"/>
              </w:rPr>
              <w:t>200 mg</w:t>
            </w:r>
          </w:p>
        </w:tc>
        <w:tc>
          <w:tcPr>
            <w:tcW w:w="1200" w:type="dxa"/>
            <w:tcBorders>
              <w:left w:val="single" w:sz="2" w:space="0" w:color="000000"/>
              <w:bottom w:val="single" w:sz="2" w:space="0" w:color="000000"/>
            </w:tcBorders>
            <w:shd w:fill="auto" w:val="clear"/>
          </w:tcPr>
          <w:p>
            <w:pPr>
              <w:pStyle w:val="Tabellinnehll"/>
              <w:spacing w:before="0" w:after="160"/>
              <w:rPr>
                <w:rFonts w:ascii="Arial" w:hAnsi="Arial"/>
                <w:sz w:val="20"/>
                <w:szCs w:val="20"/>
              </w:rPr>
            </w:pPr>
            <w:r>
              <w:rPr>
                <w:rFonts w:ascii="Arial" w:hAnsi="Arial"/>
                <w:sz w:val="20"/>
                <w:szCs w:val="20"/>
              </w:rPr>
              <w:t>400 mg</w:t>
            </w:r>
          </w:p>
        </w:tc>
        <w:tc>
          <w:tcPr>
            <w:tcW w:w="1125" w:type="dxa"/>
            <w:tcBorders>
              <w:left w:val="single" w:sz="2" w:space="0" w:color="000000"/>
              <w:bottom w:val="single" w:sz="2" w:space="0" w:color="000000"/>
              <w:right w:val="single" w:sz="2" w:space="0" w:color="000000"/>
            </w:tcBorders>
            <w:shd w:fill="auto" w:val="clear"/>
          </w:tcPr>
          <w:p>
            <w:pPr>
              <w:pStyle w:val="Tabellinnehll"/>
              <w:spacing w:before="0" w:after="160"/>
              <w:rPr>
                <w:rFonts w:ascii="Arial" w:hAnsi="Arial"/>
                <w:sz w:val="20"/>
                <w:szCs w:val="20"/>
              </w:rPr>
            </w:pPr>
            <w:r>
              <w:rPr>
                <w:rFonts w:ascii="Arial" w:hAnsi="Arial"/>
                <w:sz w:val="20"/>
                <w:szCs w:val="20"/>
              </w:rPr>
              <w:t xml:space="preserve">  </w:t>
            </w:r>
            <w:r>
              <w:rPr>
                <w:rFonts w:ascii="Arial" w:hAnsi="Arial"/>
                <w:sz w:val="20"/>
                <w:szCs w:val="20"/>
              </w:rPr>
              <w:t>600 mg</w:t>
            </w:r>
          </w:p>
        </w:tc>
      </w:tr>
    </w:tbl>
    <w:p>
      <w:pPr>
        <w:pStyle w:val="Tabellfrteckningrubrik"/>
        <w:rPr/>
      </w:pPr>
      <w:bookmarkStart w:id="0" w:name="__DdeLink__5331_1684188124"/>
      <w:r>
        <w:rPr>
          <w:b w:val="false"/>
          <w:bCs/>
          <w:i/>
          <w:iCs/>
          <w:caps w:val="false"/>
          <w:smallCaps w:val="false"/>
          <w:color w:val="auto"/>
          <w:spacing w:val="0"/>
          <w:sz w:val="18"/>
          <w:szCs w:val="18"/>
        </w:rPr>
        <w:t xml:space="preserve">Per maxdos (3 kapslar): </w:t>
      </w:r>
      <w:r>
        <w:rPr>
          <w:b/>
          <w:bCs/>
          <w:i/>
          <w:iCs/>
          <w:caps w:val="false"/>
          <w:smallCaps w:val="false"/>
          <w:color w:val="auto"/>
          <w:spacing w:val="0"/>
          <w:sz w:val="18"/>
          <w:szCs w:val="18"/>
        </w:rPr>
        <w:t>Nitrat ifrån olika källor 600 mg</w:t>
      </w:r>
      <w:bookmarkEnd w:id="0"/>
    </w:p>
    <w:p>
      <w:pPr>
        <w:pStyle w:val="Tabellfrteckningrubrik"/>
        <w:rPr>
          <w:b/>
          <w:b/>
          <w:bCs/>
          <w:i/>
          <w:i/>
          <w:iCs/>
          <w:caps w:val="false"/>
          <w:smallCaps w:val="false"/>
          <w:color w:val="auto"/>
          <w:spacing w:val="0"/>
          <w:sz w:val="18"/>
          <w:szCs w:val="18"/>
        </w:rPr>
      </w:pPr>
      <w:r>
        <w:rPr/>
      </w:r>
    </w:p>
    <w:p>
      <w:pPr>
        <w:pStyle w:val="Tabellfrteckningrubrik"/>
        <w:rPr>
          <w:b/>
          <w:b/>
          <w:bCs/>
          <w:i/>
          <w:i/>
          <w:iCs/>
          <w:caps w:val="false"/>
          <w:smallCaps w:val="false"/>
          <w:color w:val="auto"/>
          <w:spacing w:val="0"/>
          <w:sz w:val="18"/>
          <w:szCs w:val="18"/>
        </w:rPr>
      </w:pPr>
      <w:r>
        <w:rPr/>
      </w:r>
    </w:p>
    <w:p>
      <w:pPr>
        <w:pStyle w:val="Tabellfrteckningrubrik"/>
        <w:rPr>
          <w:b/>
          <w:b/>
          <w:bCs/>
          <w:i/>
          <w:i/>
          <w:iCs/>
          <w:caps w:val="false"/>
          <w:smallCaps w:val="false"/>
          <w:color w:val="auto"/>
          <w:spacing w:val="0"/>
          <w:sz w:val="18"/>
          <w:szCs w:val="18"/>
        </w:rPr>
      </w:pPr>
      <w:r>
        <w:rPr/>
      </w:r>
    </w:p>
    <w:p>
      <w:pPr>
        <w:pStyle w:val="Tabellfrteckningrubrik"/>
        <w:rPr>
          <w:b/>
          <w:b/>
          <w:bCs/>
          <w:i/>
          <w:i/>
          <w:iCs/>
          <w:caps w:val="false"/>
          <w:smallCaps w:val="false"/>
          <w:color w:val="auto"/>
          <w:spacing w:val="0"/>
          <w:sz w:val="18"/>
          <w:szCs w:val="18"/>
        </w:rPr>
      </w:pPr>
      <w:r>
        <w:rPr/>
      </w:r>
    </w:p>
    <w:p>
      <w:pPr>
        <w:pStyle w:val="Tabellfrteckningrubrik"/>
        <w:rPr>
          <w:b/>
          <w:b/>
          <w:bCs/>
          <w:i/>
          <w:i/>
          <w:iCs/>
          <w:caps w:val="false"/>
          <w:smallCaps w:val="false"/>
          <w:color w:val="auto"/>
          <w:spacing w:val="0"/>
          <w:sz w:val="18"/>
          <w:szCs w:val="18"/>
        </w:rPr>
      </w:pPr>
      <w:r>
        <w:rPr/>
      </w:r>
    </w:p>
    <w:p>
      <w:pPr>
        <w:pStyle w:val="Brdtextpress"/>
        <w:rPr/>
      </w:pPr>
      <w:r>
        <w:rPr>
          <w:b/>
          <w:bCs/>
          <w:sz w:val="20"/>
          <w:szCs w:val="20"/>
        </w:rPr>
        <w:t>ÖVRIGT</w:t>
      </w:r>
      <w:r>
        <w:rPr>
          <w:sz w:val="20"/>
          <w:szCs w:val="20"/>
        </w:rPr>
        <w:br/>
      </w:r>
      <w:r>
        <w:rPr>
          <w:b w:val="false"/>
          <w:i w:val="false"/>
          <w:caps w:val="false"/>
          <w:smallCaps w:val="false"/>
          <w:color w:val="auto"/>
          <w:spacing w:val="0"/>
          <w:sz w:val="20"/>
          <w:szCs w:val="20"/>
        </w:rPr>
        <w:t>Vegan</w:t>
      </w:r>
    </w:p>
    <w:p>
      <w:pPr>
        <w:pStyle w:val="Rubrik4press"/>
        <w:rPr>
          <w:rFonts w:ascii="Arial" w:hAnsi="Arial"/>
          <w:sz w:val="20"/>
          <w:szCs w:val="20"/>
        </w:rPr>
      </w:pPr>
      <w:r>
        <w:rPr>
          <w:sz w:val="20"/>
          <w:szCs w:val="20"/>
        </w:rPr>
        <w:t>FÖRVARING</w:t>
      </w:r>
    </w:p>
    <w:p>
      <w:pPr>
        <w:pStyle w:val="Brdtextpress"/>
        <w:rPr/>
      </w:pPr>
      <w:r>
        <w:rPr>
          <w:rStyle w:val="Starktbetonad"/>
          <w:b w:val="false"/>
          <w:bCs w:val="false"/>
          <w:sz w:val="20"/>
          <w:szCs w:val="20"/>
        </w:rPr>
        <w:t>Torrt, svalt, väl förslutet och oåtkomligt för barn.</w:t>
      </w:r>
    </w:p>
    <w:p>
      <w:pPr>
        <w:pStyle w:val="Rubrik4press"/>
        <w:rPr/>
      </w:pPr>
      <w:r>
        <w:rPr>
          <w:rStyle w:val="Starktbetonad"/>
          <w:sz w:val="20"/>
          <w:szCs w:val="20"/>
        </w:rPr>
        <w:t xml:space="preserve">KOSTTILLSKOTT </w:t>
      </w:r>
    </w:p>
    <w:p>
      <w:pPr>
        <w:pStyle w:val="Brdtextpress"/>
        <w:rPr>
          <w:sz w:val="18"/>
          <w:szCs w:val="18"/>
        </w:rPr>
      </w:pPr>
      <w:r>
        <w:rPr>
          <w:sz w:val="20"/>
          <w:szCs w:val="20"/>
        </w:rPr>
        <w:t>Rekommenderad dagsdos ska ej överskridas. Bör inte användas som alternativ till en varierad kost. Förvaras utom räckhåll för barn.</w:t>
      </w:r>
    </w:p>
    <w:p>
      <w:pPr>
        <w:pStyle w:val="Rubrik4press"/>
        <w:rPr>
          <w:sz w:val="18"/>
          <w:szCs w:val="18"/>
        </w:rPr>
      </w:pPr>
      <w:r>
        <w:rPr>
          <w:sz w:val="20"/>
          <w:szCs w:val="20"/>
        </w:rPr>
        <w:t xml:space="preserve">KVALITETSGARANTI </w:t>
      </w:r>
    </w:p>
    <w:p>
      <w:pPr>
        <w:pStyle w:val="Brdtextpress"/>
        <w:rPr>
          <w:sz w:val="18"/>
          <w:szCs w:val="18"/>
        </w:rPr>
      </w:pPr>
      <w:r>
        <w:rPr>
          <w:sz w:val="20"/>
          <w:szCs w:val="20"/>
        </w:rPr>
        <w:t>Producerad i Sverige enligt rådande EU-normer.</w:t>
      </w:r>
    </w:p>
    <w:p>
      <w:pPr>
        <w:pStyle w:val="Tabellfrteckningrubrik"/>
        <w:rPr/>
      </w:pPr>
      <w:r>
        <w:rPr/>
      </w:r>
    </w:p>
    <w:p>
      <w:pPr>
        <w:pStyle w:val="Tabellfrteckningrubrik"/>
        <w:rPr/>
      </w:pPr>
      <w:r>
        <w:rPr/>
      </w:r>
    </w:p>
    <w:p>
      <w:pPr>
        <w:pStyle w:val="Tabellfrteckningrubrik"/>
        <w:rPr/>
      </w:pPr>
      <w:r>
        <w:rPr/>
      </w:r>
    </w:p>
    <w:p>
      <w:pPr>
        <w:pStyle w:val="Tabellfrteckningrubrik"/>
        <w:rPr/>
      </w:pPr>
      <w:r>
        <w:rPr/>
      </w:r>
    </w:p>
    <w:p>
      <w:pPr>
        <w:pStyle w:val="Tabellfrteckningrubrik"/>
        <w:spacing w:before="240" w:after="120"/>
        <w:rPr/>
      </w:pPr>
      <w:r>
        <w:rPr/>
      </w:r>
    </w:p>
    <w:p>
      <w:pPr>
        <w:pStyle w:val="Tabellfrteckningrubrik"/>
        <w:spacing w:before="240" w:after="120"/>
        <w:rPr>
          <w:sz w:val="16"/>
          <w:szCs w:val="16"/>
        </w:rPr>
      </w:pPr>
      <w:r>
        <w:rPr/>
      </w:r>
    </w:p>
    <w:sectPr>
      <w:headerReference w:type="default" r:id="rId2"/>
      <w:footerReference w:type="default" r:id="rId3"/>
      <w:type w:val="nextPage"/>
      <w:pgSz w:w="11906" w:h="16838"/>
      <w:pgMar w:left="1440" w:right="1440" w:header="708" w:top="1440" w:footer="1440" w:bottom="19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Lato">
    <w:altName w:val="sans-serif"/>
    <w:charset w:val="00"/>
    <w:family w:val="roman"/>
    <w:pitch w:val="variable"/>
  </w:font>
  <w:font w:name="Arial">
    <w:charset w:val="01"/>
    <w:family w:val="swiss"/>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rPr/>
    </w:pPr>
    <w:r>
      <w:rPr>
        <w:sz w:val="16"/>
        <w:szCs w:val="16"/>
      </w:rPr>
      <w:t>Fairing Sweden AB     Adolfbergsvägen 29    16866 Bromma, SWEDEN</w:t>
      <w:tab/>
      <w:t xml:space="preserve">                                          </w:t>
    </w:r>
    <w:hyperlink r:id="rId1">
      <w:r>
        <w:rPr>
          <w:rStyle w:val="Internetlnk"/>
          <w:sz w:val="16"/>
          <w:szCs w:val="16"/>
        </w:rPr>
        <w:t>www.fairing.se</w:t>
      </w:r>
    </w:hyperlink>
    <w:r>
      <w:rPr>
        <w:sz w:val="16"/>
        <w:szCs w:val="16"/>
      </w:rPr>
      <w:t xml:space="preserve">    info@fairing.se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rPr/>
    </w:pPr>
    <w:r>
      <w:rPr/>
      <w:drawing>
        <wp:inline distT="0" distB="0" distL="0" distR="0">
          <wp:extent cx="1905000" cy="601980"/>
          <wp:effectExtent l="0" t="0" r="0" b="0"/>
          <wp:docPr id="1" name="Bild1" descr="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Fairing"/>
                  <pic:cNvPicPr>
                    <a:picLocks noChangeAspect="1" noChangeArrowheads="1"/>
                  </pic:cNvPicPr>
                </pic:nvPicPr>
                <pic:blipFill>
                  <a:blip r:embed="rId1"/>
                  <a:stretch>
                    <a:fillRect/>
                  </a:stretch>
                </pic:blipFill>
                <pic:spPr bwMode="auto">
                  <a:xfrm>
                    <a:off x="0" y="0"/>
                    <a:ext cx="1905000" cy="601980"/>
                  </a:xfrm>
                  <a:prstGeom prst="rect">
                    <a:avLst/>
                  </a:prstGeom>
                </pic:spPr>
              </pic:pic>
            </a:graphicData>
          </a:graphic>
        </wp:inline>
      </w:drawing>
    </w:r>
    <w:r>
      <w:rPr/>
      <w:tab/>
      <w:tab/>
      <w:t>Gäller från: 2021-0</w:t>
    </w:r>
    <w:r>
      <w:rPr/>
      <w:t>6</w:t>
    </w:r>
    <w:r>
      <w:rPr/>
      <w:t>-</w:t>
    </w:r>
    <w:r>
      <w:rPr/>
      <w:t>11</w:t>
    </w:r>
  </w:p>
  <w:p>
    <w:pPr>
      <w:pStyle w:val="Sidhuvud"/>
      <w:rPr/>
    </w:pPr>
    <w:r>
      <w:rPr/>
      <w:tab/>
      <w:tab/>
      <w:t>Produktblad: Nitrat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Rubrik2"/>
      <w:numFmt w:val="none"/>
      <w:suff w:val="nothing"/>
      <w:lvlText w:val=""/>
      <w:lvlJc w:val="left"/>
      <w:pPr>
        <w:ind w:left="0" w:hanging="0"/>
      </w:pPr>
    </w:lvl>
    <w:lvl w:ilvl="2">
      <w:start w:val="1"/>
      <w:pStyle w:val="Rubrik3"/>
      <w:numFmt w:val="none"/>
      <w:suff w:val="nothing"/>
      <w:lvlText w:val=""/>
      <w:lvlJc w:val="left"/>
      <w:pPr>
        <w:ind w:left="0" w:hanging="0"/>
      </w:pPr>
    </w:lvl>
    <w:lvl w:ilvl="3">
      <w:start w:val="1"/>
      <w:numFmt w:val="none"/>
      <w:suff w:val="nothing"/>
      <w:lvlText w:val=""/>
      <w:lvlJc w:val="left"/>
      <w:pPr>
        <w:ind w:left="0" w:hanging="0"/>
      </w:pPr>
    </w:lvl>
    <w:lvl w:ilvl="4">
      <w:start w:val="1"/>
      <w:pStyle w:val="Rubrik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suff w:val="nothing"/>
      <w:lvlText w:val=""/>
      <w:lvlJc w:val="left"/>
      <w:pPr>
        <w:ind w:left="707" w:hanging="0"/>
      </w:pPr>
      <w:rPr>
        <w:rFonts w:ascii="Wingdings" w:hAnsi="Wingdings" w:cs="Wingdings" w:hint="default"/>
        <w:sz w:val="20"/>
        <w:b/>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num w:numId="1">
    <w:abstractNumId w:val="1"/>
  </w:num>
  <w:num w:numId="2">
    <w:abstractNumId w:val="2"/>
  </w:num>
</w:numbering>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2">
    <w:name w:val="Heading 2"/>
    <w:basedOn w:val="Rubrik"/>
    <w:next w:val="Brdtext"/>
    <w:qFormat/>
    <w:pPr>
      <w:numPr>
        <w:ilvl w:val="1"/>
        <w:numId w:val="1"/>
      </w:numPr>
      <w:ind w:left="0" w:right="0" w:hanging="0"/>
      <w:outlineLvl w:val="1"/>
    </w:pPr>
    <w:rPr>
      <w:b/>
      <w:bCs/>
      <w:i/>
      <w:iCs/>
      <w:sz w:val="28"/>
      <w:szCs w:val="28"/>
    </w:rPr>
  </w:style>
  <w:style w:type="paragraph" w:styleId="Rubrik3">
    <w:name w:val="Heading 3"/>
    <w:basedOn w:val="Rubrik"/>
    <w:next w:val="Brdtext"/>
    <w:qFormat/>
    <w:pPr>
      <w:numPr>
        <w:ilvl w:val="2"/>
        <w:numId w:val="1"/>
      </w:numPr>
      <w:ind w:left="0" w:right="0" w:hanging="0"/>
      <w:outlineLvl w:val="2"/>
    </w:pPr>
    <w:rPr>
      <w:b/>
      <w:bCs/>
      <w:sz w:val="28"/>
      <w:szCs w:val="28"/>
    </w:rPr>
  </w:style>
  <w:style w:type="paragraph" w:styleId="Rubrik5">
    <w:name w:val="Heading 5"/>
    <w:basedOn w:val="Rubrik"/>
    <w:next w:val="Brdtext"/>
    <w:qFormat/>
    <w:pPr>
      <w:numPr>
        <w:ilvl w:val="4"/>
        <w:numId w:val="1"/>
      </w:numPr>
      <w:ind w:left="0" w:right="0" w:hanging="0"/>
      <w:outlineLvl w:val="4"/>
    </w:pPr>
    <w:rPr>
      <w:b/>
      <w:bCs/>
      <w:sz w:val="24"/>
      <w:szCs w:val="24"/>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link w:val="Sidhuvud"/>
    <w:uiPriority w:val="99"/>
    <w:qFormat/>
    <w:rsid w:val="00287257"/>
    <w:rPr/>
  </w:style>
  <w:style w:type="character" w:styleId="SidfotChar" w:customStyle="1">
    <w:name w:val="Sidfot Char"/>
    <w:basedOn w:val="DefaultParagraphFont"/>
    <w:link w:val="Sidfot"/>
    <w:uiPriority w:val="99"/>
    <w:qFormat/>
    <w:rsid w:val="00287257"/>
    <w:rPr/>
  </w:style>
  <w:style w:type="character" w:styleId="Starktbetonad">
    <w:name w:val="Starkt betonad"/>
    <w:qFormat/>
    <w:rPr>
      <w:b/>
      <w:bCs/>
    </w:rPr>
  </w:style>
  <w:style w:type="character" w:styleId="Internetlnk">
    <w:name w:val="Internetlänk"/>
    <w:rPr>
      <w:color w:val="000080"/>
      <w:u w:val="single"/>
      <w:lang w:val="zxx" w:eastAsia="zxx" w:bidi="zxx"/>
    </w:rPr>
  </w:style>
  <w:style w:type="character" w:styleId="ListLabel1">
    <w:name w:val="ListLabel 1"/>
    <w:qFormat/>
    <w:rPr>
      <w:sz w:val="16"/>
      <w:szCs w:val="16"/>
    </w:rPr>
  </w:style>
  <w:style w:type="character" w:styleId="Betonad">
    <w:name w:val="Betonad"/>
    <w:qFormat/>
    <w:rPr>
      <w:i/>
      <w:iCs/>
    </w:rPr>
  </w:style>
  <w:style w:type="character" w:styleId="Punktuppstllning">
    <w:name w:val="Punktuppställning"/>
    <w:qFormat/>
    <w:rPr>
      <w:rFonts w:ascii="OpenSymbol" w:hAnsi="OpenSymbol" w:eastAsia="OpenSymbol" w:cs="OpenSymbol"/>
    </w:rPr>
  </w:style>
  <w:style w:type="character" w:styleId="ListLabel2">
    <w:name w:val="ListLabel 2"/>
    <w:qFormat/>
    <w:rPr>
      <w:rFonts w:cs="OpenSymbol"/>
      <w:sz w:val="20"/>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sz w:val="16"/>
      <w:szCs w:val="16"/>
    </w:rPr>
  </w:style>
  <w:style w:type="character" w:styleId="ListLabel12">
    <w:name w:val="ListLabel 12"/>
    <w:qFormat/>
    <w:rPr>
      <w:rFonts w:cs="OpenSymbol"/>
      <w:sz w:val="20"/>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sz w:val="16"/>
      <w:szCs w:val="16"/>
    </w:rPr>
  </w:style>
  <w:style w:type="character" w:styleId="ListLabel22">
    <w:name w:val="ListLabel 22"/>
    <w:qFormat/>
    <w:rPr>
      <w:rFonts w:cs="OpenSymbol"/>
      <w:b/>
      <w:sz w:val="20"/>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sz w:val="16"/>
      <w:szCs w:val="16"/>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
    <w:name w:val="Header"/>
    <w:basedOn w:val="Normal"/>
    <w:link w:val="SidhuvudChar"/>
    <w:uiPriority w:val="99"/>
    <w:unhideWhenUsed/>
    <w:rsid w:val="00287257"/>
    <w:pPr>
      <w:tabs>
        <w:tab w:val="clear" w:pos="1304"/>
        <w:tab w:val="center" w:pos="4513" w:leader="none"/>
        <w:tab w:val="right" w:pos="9026" w:leader="none"/>
      </w:tabs>
      <w:spacing w:lineRule="auto" w:line="240" w:before="0" w:after="0"/>
    </w:pPr>
    <w:rPr/>
  </w:style>
  <w:style w:type="paragraph" w:styleId="Sidfot">
    <w:name w:val="Footer"/>
    <w:basedOn w:val="Normal"/>
    <w:link w:val="SidfotChar"/>
    <w:uiPriority w:val="99"/>
    <w:unhideWhenUsed/>
    <w:rsid w:val="00287257"/>
    <w:pPr>
      <w:tabs>
        <w:tab w:val="clear" w:pos="1304"/>
        <w:tab w:val="center" w:pos="4513" w:leader="none"/>
        <w:tab w:val="right" w:pos="9026" w:leader="none"/>
      </w:tabs>
      <w:spacing w:lineRule="auto" w:line="240" w:before="0" w:after="0"/>
    </w:pPr>
    <w:rPr/>
  </w:style>
  <w:style w:type="paragraph" w:styleId="Pressdokument">
    <w:name w:val="Pressdokument"/>
    <w:qFormat/>
    <w:pPr>
      <w:widowControl w:val="false"/>
      <w:suppressAutoHyphens w:val="true"/>
      <w:overflowPunct w:val="true"/>
      <w:bidi w:val="0"/>
      <w:spacing w:lineRule="auto" w:line="259" w:before="0" w:after="160"/>
      <w:jc w:val="left"/>
    </w:pPr>
    <w:rPr>
      <w:rFonts w:ascii="Times New Roman" w:hAnsi="Times New Roman" w:eastAsia="SimSun" w:cs="Mangal"/>
      <w:color w:val="auto"/>
      <w:kern w:val="0"/>
      <w:sz w:val="24"/>
      <w:szCs w:val="24"/>
      <w:lang w:val="sv-SE" w:eastAsia="zh-CN" w:bidi="hi-IN"/>
    </w:rPr>
  </w:style>
  <w:style w:type="paragraph" w:styleId="Brdtextpress">
    <w:name w:val="Brödtext press"/>
    <w:basedOn w:val="Pressdokument"/>
    <w:next w:val="Tabellfrteckningrubrik"/>
    <w:qFormat/>
    <w:pPr>
      <w:spacing w:lineRule="atLeast" w:line="280" w:before="0" w:after="113"/>
    </w:pPr>
    <w:rPr>
      <w:rFonts w:ascii="Arial" w:hAnsi="Arial" w:cs="Arial"/>
      <w:sz w:val="20"/>
    </w:rPr>
  </w:style>
  <w:style w:type="paragraph" w:styleId="Tabellfrteckningrubrik">
    <w:name w:val="Tabellförteckning rubrik"/>
    <w:basedOn w:val="Rubrik"/>
    <w:qFormat/>
    <w:pPr>
      <w:suppressLineNumbers/>
      <w:ind w:left="0" w:right="0" w:hanging="0"/>
    </w:pPr>
    <w:rPr>
      <w:b/>
      <w:bCs/>
      <w:sz w:val="32"/>
      <w:szCs w:val="32"/>
    </w:rPr>
  </w:style>
  <w:style w:type="paragraph" w:styleId="Rubrik1press">
    <w:name w:val="Rubrik 1 press"/>
    <w:basedOn w:val="Pressdokument"/>
    <w:next w:val="Rubrik2"/>
    <w:qFormat/>
    <w:pPr>
      <w:spacing w:before="0" w:after="57"/>
      <w:jc w:val="center"/>
    </w:pPr>
    <w:rPr>
      <w:rFonts w:ascii="Arial" w:hAnsi="Arial" w:cs="Arial"/>
      <w:b/>
      <w:sz w:val="32"/>
    </w:rPr>
  </w:style>
  <w:style w:type="paragraph" w:styleId="Rubrik2press">
    <w:name w:val="Rubrik 2 press"/>
    <w:basedOn w:val="Pressdokument"/>
    <w:next w:val="Rubrik3"/>
    <w:qFormat/>
    <w:pPr>
      <w:spacing w:before="0" w:after="113"/>
      <w:jc w:val="center"/>
    </w:pPr>
    <w:rPr>
      <w:rFonts w:ascii="Arial" w:hAnsi="Arial" w:cs="Arial"/>
      <w:b/>
      <w:sz w:val="24"/>
    </w:rPr>
  </w:style>
  <w:style w:type="paragraph" w:styleId="Rubrik3press">
    <w:name w:val="Rubrik 3 press"/>
    <w:basedOn w:val="Pressdokument"/>
    <w:next w:val="Rubrik4press"/>
    <w:qFormat/>
    <w:pPr>
      <w:spacing w:lineRule="atLeast" w:line="285" w:before="170" w:after="113"/>
    </w:pPr>
    <w:rPr>
      <w:rFonts w:ascii="Arial" w:hAnsi="Arial" w:cs="Arial"/>
      <w:b/>
      <w:sz w:val="20"/>
    </w:rPr>
  </w:style>
  <w:style w:type="paragraph" w:styleId="Rubrik4press">
    <w:name w:val="Rubrik 4 press"/>
    <w:basedOn w:val="Pressdokument"/>
    <w:next w:val="Rubrik5"/>
    <w:qFormat/>
    <w:pPr>
      <w:spacing w:lineRule="atLeast" w:line="228" w:before="283" w:after="57"/>
    </w:pPr>
    <w:rPr>
      <w:rFonts w:ascii="Arial" w:hAnsi="Arial" w:cs="Arial"/>
      <w:b/>
      <w:sz w:val="20"/>
    </w:rPr>
  </w:style>
  <w:style w:type="paragraph" w:styleId="Tabellinnehll">
    <w:name w:val="Tabellinnehåll"/>
    <w:basedOn w:val="Normal"/>
    <w:qFormat/>
    <w:pPr>
      <w:suppressLineNumbers/>
    </w:pPr>
    <w:rPr/>
  </w:style>
  <w:style w:type="paragraph" w:styleId="Tabellrubrik">
    <w:name w:val="Tabellrubrik"/>
    <w:basedOn w:val="Tabellinnehll"/>
    <w:qFormat/>
    <w:pPr>
      <w:suppressLineNumbers/>
      <w:jc w:val="center"/>
    </w:pPr>
    <w:rPr>
      <w:b/>
      <w:bCs/>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fairing.se/"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Application>LibreOffice/6.2.5.2$Windows_X86_64 LibreOffice_project/1ec314fa52f458adc18c4f025c545a4e8b22c159</Application>
  <Pages>3</Pages>
  <Words>499</Words>
  <Characters>2746</Characters>
  <CharactersWithSpaces>3275</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2020-09-07T09:38:00Z</dcterms:created>
  <dc:creator>Magnus Norbäck</dc:creator>
  <dc:description/>
  <dc:language>sv-SE</dc:language>
  <cp:lastModifiedBy/>
  <dcterms:modified xsi:type="dcterms:W3CDTF">2021-06-11T10:20:00Z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