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Vitamin B6, </w:t>
      </w:r>
      <w:r>
        <w:rPr>
          <w:rStyle w:val="Starktbetonad"/>
          <w:b w:val="false"/>
          <w:bCs w:val="false"/>
        </w:rPr>
        <w:t xml:space="preserve">120 </w:t>
      </w:r>
      <w:r>
        <w:rPr>
          <w:rStyle w:val="Starktbetonad"/>
          <w:b w:val="false"/>
          <w:bCs w:val="false"/>
          <w:i w:val="false"/>
          <w:iCs w:val="false"/>
        </w:rPr>
        <w:t>tabl</w:t>
      </w:r>
    </w:p>
    <w:p>
      <w:pPr>
        <w:pStyle w:val="Rubrik2press"/>
        <w:jc w:val="left"/>
        <w:rPr/>
      </w:pPr>
      <w:r>
        <w:rPr>
          <w:rStyle w:val="Starktbetonad"/>
          <w:sz w:val="20"/>
          <w:szCs w:val="20"/>
        </w:rPr>
        <w:t xml:space="preserve">Art nr. </w:t>
      </w:r>
      <w:r>
        <w:rPr>
          <w:rStyle w:val="Starktbetonad"/>
          <w:b w:val="false"/>
          <w:bCs w:val="false"/>
          <w:sz w:val="20"/>
          <w:szCs w:val="20"/>
        </w:rPr>
        <w:t>326</w:t>
      </w:r>
    </w:p>
    <w:p>
      <w:pPr>
        <w:pStyle w:val="Rubrik2press"/>
        <w:jc w:val="left"/>
        <w:rPr>
          <w:rStyle w:val="Starktbetonad"/>
        </w:rPr>
      </w:pPr>
      <w:r>
        <w:rPr/>
      </w:r>
    </w:p>
    <w:p>
      <w:pPr>
        <w:pStyle w:val="Normal"/>
        <w:bidi w:val="0"/>
        <w:jc w:val="left"/>
        <w:rPr/>
      </w:pPr>
      <w:r>
        <w:rPr>
          <w:rStyle w:val="Starktbetonad"/>
          <w:b/>
          <w:bCs/>
          <w:i w:val="false"/>
          <w:strike w:val="false"/>
          <w:dstrike w:val="false"/>
          <w:outline w:val="false"/>
          <w:shadow w:val="false"/>
          <w:sz w:val="22"/>
          <w:szCs w:val="22"/>
          <w:u w:val="none"/>
          <w:em w:val="none"/>
        </w:rPr>
        <w:t>Lättupptaglig Vitamin B6 i tablett</w:t>
      </w:r>
      <w:r>
        <w:rPr>
          <w:b/>
          <w:bCs/>
          <w:i w:val="false"/>
          <w:strike w:val="false"/>
          <w:dstrike w:val="false"/>
          <w:outline w:val="false"/>
          <w:shadow w:val="false"/>
          <w:sz w:val="22"/>
          <w:szCs w:val="22"/>
          <w:u w:val="none"/>
          <w:em w:val="none"/>
        </w:rPr>
        <w:t>form.</w:t>
      </w:r>
    </w:p>
    <w:p>
      <w:pPr>
        <w:pStyle w:val="Normal"/>
        <w:rPr/>
      </w:pPr>
      <w:r>
        <w:rPr/>
        <w:t>Vitamin B6 kallas också Pyridoxin och är en vitamin som är viktig för kroppens omsättning av energi och protein. Den har också en viktig roll i vårt nervsystem och immunförsvar.</w:t>
      </w:r>
    </w:p>
    <w:p>
      <w:pPr>
        <w:pStyle w:val="Normal"/>
        <w:rPr/>
      </w:pPr>
      <w:r>
        <w:rPr/>
        <w:t>I kosten får vi vitamin B6 från exempelvis kött, grönsaker och fullkornsprodukter. Ren brist är ovanligt, men då kroppen inte har några lager av vitamin B6 är det viktigt att tillföra näringsämnet varje dag.</w:t>
      </w:r>
    </w:p>
    <w:p>
      <w:pPr>
        <w:pStyle w:val="Normal"/>
        <w:rPr/>
      </w:pPr>
      <w:r>
        <w:rPr/>
        <w:t xml:space="preserve">Vitamin B6 är som de övriga B-vitaminerna vattenlöslig vilket gör att det inte är någon risk för bieffekter vid höga doser. </w:t>
      </w:r>
    </w:p>
    <w:p>
      <w:pPr>
        <w:pStyle w:val="Normal"/>
        <w:bidi w:val="0"/>
        <w:jc w:val="left"/>
        <w:rPr>
          <w:sz w:val="22"/>
          <w:szCs w:val="22"/>
        </w:rPr>
      </w:pPr>
      <w:r>
        <w:rPr>
          <w:b w:val="false"/>
          <w:i w:val="false"/>
          <w:strike w:val="false"/>
          <w:dstrike w:val="false"/>
          <w:outline w:val="false"/>
          <w:shadow w:val="false"/>
          <w:sz w:val="22"/>
          <w:szCs w:val="22"/>
          <w:u w:val="none"/>
          <w:em w:val="none"/>
        </w:rPr>
        <w:t>Fairing Green Line Vitamin B6 är vegansk och givetvis fri från GMO.</w:t>
      </w:r>
    </w:p>
    <w:p>
      <w:pPr>
        <w:pStyle w:val="Normal"/>
        <w:bidi w:val="0"/>
        <w:jc w:val="left"/>
        <w:rPr/>
      </w:pPr>
      <w:r>
        <w:rPr>
          <w:sz w:val="18"/>
          <w:szCs w:val="18"/>
        </w:rPr>
        <w:br/>
      </w:r>
      <w:r>
        <w:rPr>
          <w:b/>
          <w:bCs/>
          <w:sz w:val="20"/>
          <w:szCs w:val="20"/>
        </w:rPr>
        <w:t>NETTOVIKT</w:t>
      </w:r>
    </w:p>
    <w:p>
      <w:pPr>
        <w:pStyle w:val="Brdtextpress"/>
        <w:rPr>
          <w:rFonts w:ascii="Calibri" w:hAnsi="Calibri"/>
          <w:sz w:val="20"/>
          <w:szCs w:val="20"/>
        </w:rPr>
      </w:pPr>
      <w:r>
        <w:rPr>
          <w:rFonts w:ascii="Calibri" w:hAnsi="Calibri"/>
          <w:sz w:val="20"/>
          <w:szCs w:val="20"/>
        </w:rPr>
        <w:t>120 tabletter (120 serveringar)</w:t>
      </w:r>
    </w:p>
    <w:p>
      <w:pPr>
        <w:pStyle w:val="Rubrik4press"/>
        <w:rPr>
          <w:rFonts w:ascii="Arial" w:hAnsi="Arial" w:cs="Arial"/>
          <w:b/>
          <w:b/>
          <w:bCs/>
        </w:rPr>
      </w:pPr>
      <w:r>
        <w:rPr>
          <w:rFonts w:cs="Arial" w:ascii="Calibri" w:hAnsi="Calibri"/>
          <w:b/>
          <w:bCs/>
          <w:sz w:val="20"/>
          <w:szCs w:val="20"/>
        </w:rPr>
        <w:t>DOSERINGSSTORLEK</w:t>
      </w:r>
    </w:p>
    <w:p>
      <w:pPr>
        <w:pStyle w:val="Brdtextpress"/>
        <w:rPr>
          <w:rFonts w:ascii="Calibri" w:hAnsi="Calibri"/>
          <w:sz w:val="20"/>
          <w:szCs w:val="20"/>
        </w:rPr>
      </w:pPr>
      <w:r>
        <w:rPr>
          <w:rFonts w:cs="Arial" w:ascii="Calibri" w:hAnsi="Calibri"/>
          <w:b w:val="false"/>
          <w:bCs w:val="false"/>
          <w:sz w:val="20"/>
          <w:szCs w:val="20"/>
        </w:rPr>
        <w:t>1 tablett</w:t>
      </w:r>
    </w:p>
    <w:p>
      <w:pPr>
        <w:pStyle w:val="Rubrik4press"/>
        <w:rPr>
          <w:rFonts w:ascii="Arial" w:hAnsi="Arial"/>
          <w:sz w:val="18"/>
          <w:szCs w:val="18"/>
        </w:rPr>
      </w:pPr>
      <w:r>
        <w:rPr>
          <w:rFonts w:ascii="Calibri" w:hAnsi="Calibri"/>
          <w:sz w:val="20"/>
          <w:szCs w:val="20"/>
        </w:rPr>
        <w:t xml:space="preserve">DOSERING </w:t>
      </w:r>
    </w:p>
    <w:p>
      <w:pPr>
        <w:pStyle w:val="Brdtextpress"/>
        <w:rPr>
          <w:rFonts w:ascii="Calibri" w:hAnsi="Calibri"/>
          <w:sz w:val="20"/>
          <w:szCs w:val="20"/>
        </w:rPr>
      </w:pPr>
      <w:r>
        <w:rPr>
          <w:rFonts w:ascii="Calibri" w:hAnsi="Calibri"/>
          <w:color w:val="auto"/>
          <w:sz w:val="20"/>
          <w:szCs w:val="20"/>
        </w:rPr>
        <w:t>1 tablett daligen</w:t>
      </w:r>
      <w:r>
        <w:rPr>
          <w:rFonts w:ascii="Calibri" w:hAnsi="Calibri"/>
          <w:sz w:val="20"/>
          <w:szCs w:val="20"/>
        </w:rPr>
        <w:t xml:space="preserve"> </w:t>
      </w:r>
    </w:p>
    <w:p>
      <w:pPr>
        <w:pStyle w:val="Rubrik4press"/>
        <w:rPr/>
      </w:pPr>
      <w:r>
        <w:rPr>
          <w:rFonts w:ascii="Calibri" w:hAnsi="Calibri"/>
          <w:sz w:val="20"/>
          <w:szCs w:val="20"/>
        </w:rPr>
        <w:br/>
      </w:r>
    </w:p>
    <w:p>
      <w:pPr>
        <w:pStyle w:val="Rubrik4press"/>
        <w:rPr>
          <w:rFonts w:ascii="Arial" w:hAnsi="Arial"/>
          <w:sz w:val="18"/>
          <w:szCs w:val="18"/>
        </w:rPr>
      </w:pPr>
      <w:r>
        <w:rPr>
          <w:rFonts w:ascii="Calibri" w:hAnsi="Calibri"/>
          <w:sz w:val="20"/>
          <w:szCs w:val="20"/>
        </w:rPr>
        <w:br/>
        <w:br/>
        <w:t xml:space="preserve">INGREDIENSER </w:t>
      </w:r>
    </w:p>
    <w:p>
      <w:pPr>
        <w:pStyle w:val="Brdtextpress"/>
        <w:rPr/>
      </w:pPr>
      <w:r>
        <w:rPr>
          <w:rFonts w:ascii="Calibri" w:hAnsi="Calibri"/>
          <w:b w:val="false"/>
          <w:i w:val="false"/>
          <w:caps w:val="false"/>
          <w:smallCaps w:val="false"/>
          <w:color w:val="auto"/>
          <w:spacing w:val="0"/>
          <w:sz w:val="20"/>
          <w:szCs w:val="20"/>
        </w:rPr>
        <w:t xml:space="preserve">stabiliseringsmedel (mikrokristallin cellulosa), konsistensmedel (isomalt), </w:t>
      </w:r>
      <w:r>
        <w:rPr>
          <w:rFonts w:ascii="Calibri" w:hAnsi="Calibri"/>
          <w:b/>
          <w:bCs/>
          <w:i w:val="false"/>
          <w:caps w:val="false"/>
          <w:smallCaps w:val="false"/>
          <w:color w:val="auto"/>
          <w:spacing w:val="0"/>
          <w:sz w:val="20"/>
          <w:szCs w:val="20"/>
        </w:rPr>
        <w:t>vitamin B6</w:t>
      </w:r>
      <w:r>
        <w:rPr>
          <w:rFonts w:ascii="Calibri" w:hAnsi="Calibri"/>
          <w:b w:val="false"/>
          <w:i w:val="false"/>
          <w:caps w:val="false"/>
          <w:smallCaps w:val="false"/>
          <w:color w:val="auto"/>
          <w:spacing w:val="0"/>
          <w:sz w:val="20"/>
          <w:szCs w:val="20"/>
        </w:rPr>
        <w:t xml:space="preserve"> (pyridoxinhydroklorid), emulgeringsmedel (magnesiumsalter av fettsyror).</w:t>
      </w:r>
      <w:r>
        <w:rPr>
          <w:rFonts w:ascii="Calibri" w:hAnsi="Calibri"/>
          <w:color w:val="auto"/>
          <w:sz w:val="20"/>
          <w:szCs w:val="20"/>
        </w:rPr>
        <w:t xml:space="preserve"> </w:t>
      </w:r>
      <w:r>
        <w:rPr>
          <w:color w:val="auto"/>
          <w:sz w:val="20"/>
          <w:szCs w:val="20"/>
        </w:rPr>
        <w:br/>
      </w:r>
    </w:p>
    <w:p>
      <w:pPr>
        <w:pStyle w:val="Brdtextpress"/>
        <w:rPr>
          <w:rFonts w:ascii="Calibri" w:hAnsi="Calibri"/>
          <w:i/>
          <w:i/>
          <w:iCs/>
          <w:color w:val="auto"/>
          <w:sz w:val="20"/>
          <w:szCs w:val="20"/>
        </w:rPr>
      </w:pPr>
      <w:r>
        <w:rPr>
          <w:rFonts w:ascii="Calibri" w:hAnsi="Calibri"/>
          <w:i/>
          <w:iCs/>
          <w:color w:val="auto"/>
          <w:sz w:val="20"/>
          <w:szCs w:val="20"/>
        </w:rPr>
      </w:r>
    </w:p>
    <w:p>
      <w:pPr>
        <w:pStyle w:val="Normal"/>
        <w:rPr>
          <w:b/>
          <w:b/>
          <w:bCs/>
          <w:sz w:val="20"/>
          <w:szCs w:val="20"/>
        </w:rPr>
      </w:pPr>
      <w:r>
        <w:rPr>
          <w:b/>
          <w:bCs/>
          <w:color w:val="auto"/>
          <w:sz w:val="20"/>
          <w:szCs w:val="20"/>
        </w:rPr>
        <w:t>INNEHÅLL</w:t>
      </w:r>
    </w:p>
    <w:tbl>
      <w:tblPr>
        <w:tblW w:w="2835" w:type="dxa"/>
        <w:jc w:val="left"/>
        <w:tblInd w:w="0" w:type="dxa"/>
        <w:tblCellMar>
          <w:top w:w="55" w:type="dxa"/>
          <w:left w:w="55" w:type="dxa"/>
          <w:bottom w:w="55" w:type="dxa"/>
          <w:right w:w="55" w:type="dxa"/>
        </w:tblCellMar>
      </w:tblPr>
      <w:tblGrid>
        <w:gridCol w:w="1185"/>
        <w:gridCol w:w="1649"/>
      </w:tblGrid>
      <w:tr>
        <w:trPr/>
        <w:tc>
          <w:tcPr>
            <w:tcW w:w="1185" w:type="dxa"/>
            <w:tcBorders>
              <w:top w:val="single" w:sz="2" w:space="0" w:color="000000"/>
              <w:left w:val="single" w:sz="2" w:space="0" w:color="000000"/>
              <w:bottom w:val="single" w:sz="2" w:space="0" w:color="000000"/>
            </w:tcBorders>
            <w:shd w:fill="auto" w:val="clear"/>
          </w:tcPr>
          <w:p>
            <w:pPr>
              <w:pStyle w:val="Tabellinnehll"/>
              <w:spacing w:before="0" w:after="160"/>
              <w:rPr/>
            </w:pPr>
            <w:r>
              <w:rPr>
                <w:b/>
                <w:bCs/>
                <w:sz w:val="18"/>
                <w:szCs w:val="18"/>
              </w:rPr>
              <w:t xml:space="preserve">Innehåll per </w:t>
            </w:r>
          </w:p>
        </w:tc>
        <w:tc>
          <w:tcPr>
            <w:tcW w:w="1649"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pPr>
            <w:r>
              <w:rPr>
                <w:b/>
                <w:bCs/>
                <w:sz w:val="18"/>
                <w:szCs w:val="18"/>
              </w:rPr>
              <w:t>Dosering (1 tabl)</w:t>
            </w:r>
          </w:p>
        </w:tc>
      </w:tr>
      <w:tr>
        <w:trPr/>
        <w:tc>
          <w:tcPr>
            <w:tcW w:w="1185" w:type="dxa"/>
            <w:tcBorders>
              <w:left w:val="single" w:sz="2" w:space="0" w:color="000000"/>
              <w:bottom w:val="single" w:sz="2" w:space="0" w:color="000000"/>
            </w:tcBorders>
            <w:shd w:fill="auto" w:val="clear"/>
          </w:tcPr>
          <w:p>
            <w:pPr>
              <w:pStyle w:val="Tabellinnehll"/>
              <w:spacing w:before="0" w:after="160"/>
              <w:rPr/>
            </w:pPr>
            <w:r>
              <w:rPr>
                <w:sz w:val="18"/>
                <w:szCs w:val="18"/>
              </w:rPr>
              <w:t>Vitamin B6</w:t>
            </w:r>
          </w:p>
        </w:tc>
        <w:tc>
          <w:tcPr>
            <w:tcW w:w="1649"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8"/>
                <w:szCs w:val="18"/>
              </w:rPr>
              <w:t>25,0 mg (1786 %*)</w:t>
            </w:r>
          </w:p>
        </w:tc>
      </w:tr>
    </w:tbl>
    <w:p>
      <w:pPr>
        <w:pStyle w:val="Brdtextpress"/>
        <w:rPr/>
      </w:pPr>
      <w:r>
        <w:rPr>
          <w:rFonts w:ascii="Calibri" w:hAnsi="Calibri"/>
          <w:b w:val="false"/>
          <w:bCs w:val="false"/>
          <w:i/>
          <w:iCs/>
          <w:color w:val="auto"/>
          <w:sz w:val="16"/>
          <w:szCs w:val="16"/>
        </w:rPr>
        <w:t>* RDI: Rekommenderat dagligt intag</w:t>
      </w:r>
      <w:r>
        <w:rPr>
          <w:color w:val="auto"/>
          <w:sz w:val="20"/>
          <w:szCs w:val="20"/>
        </w:rPr>
        <w:br/>
        <w:br/>
      </w:r>
    </w:p>
    <w:p>
      <w:pPr>
        <w:pStyle w:val="Tabellfrteckningrubrik"/>
        <w:rPr/>
      </w:pPr>
      <w:r>
        <w:rPr>
          <w:rFonts w:ascii="Calibri" w:hAnsi="Calibri"/>
          <w:sz w:val="20"/>
          <w:szCs w:val="20"/>
        </w:rPr>
        <w:br/>
        <w:br/>
        <w:br/>
        <w:br/>
      </w:r>
    </w:p>
    <w:p>
      <w:pPr>
        <w:pStyle w:val="Tabellfrteckningrubrik"/>
        <w:rPr/>
      </w:pPr>
      <w:r>
        <w:rPr>
          <w:rFonts w:ascii="Calibri" w:hAnsi="Calibri"/>
          <w:sz w:val="20"/>
          <w:szCs w:val="20"/>
        </w:rPr>
        <w:br/>
        <w:br/>
        <w:t>FÖRVARING</w:t>
        <w:br/>
      </w:r>
      <w:r>
        <w:rPr>
          <w:rStyle w:val="Starktbetonad"/>
          <w:rFonts w:ascii="Calibri" w:hAnsi="Calibri"/>
          <w:b w:val="false"/>
          <w:bCs w:val="false"/>
          <w:sz w:val="20"/>
          <w:szCs w:val="20"/>
        </w:rPr>
        <w:t>Torrt, svalt, väl förslutet och oåtkomligt för barn.</w:t>
      </w:r>
    </w:p>
    <w:p>
      <w:pPr>
        <w:pStyle w:val="Rubrik4press"/>
        <w:rPr/>
      </w:pPr>
      <w:r>
        <w:rPr>
          <w:rStyle w:val="Starktbetonad"/>
          <w:rFonts w:ascii="Calibri" w:hAnsi="Calibri"/>
          <w:sz w:val="20"/>
          <w:szCs w:val="20"/>
        </w:rPr>
        <w:t xml:space="preserve">KOSTTILLSKOTT </w:t>
      </w:r>
    </w:p>
    <w:p>
      <w:pPr>
        <w:pStyle w:val="Brdtextpress"/>
        <w:rPr>
          <w:rFonts w:ascii="Calibri" w:hAnsi="Calibri"/>
          <w:sz w:val="20"/>
          <w:szCs w:val="20"/>
        </w:rPr>
      </w:pPr>
      <w:r>
        <w:rPr>
          <w:rFonts w:ascii="Calibri" w:hAnsi="Calibri"/>
          <w:sz w:val="20"/>
          <w:szCs w:val="20"/>
        </w:rPr>
        <w:t>Rekommenderad dagsdos ska ej överskridas. Bör inte användas som alternativ till en varierad kost. Rekommendera ej till barn, gravida eller ammande. Överdriven konsumtion kan ha laxerande effekt.</w:t>
      </w:r>
    </w:p>
    <w:p>
      <w:pPr>
        <w:pStyle w:val="Rubrik4press"/>
        <w:rPr>
          <w:sz w:val="18"/>
          <w:szCs w:val="18"/>
        </w:rPr>
      </w:pPr>
      <w:r>
        <w:rPr>
          <w:rFonts w:ascii="Calibri" w:hAnsi="Calibri"/>
          <w:sz w:val="20"/>
          <w:szCs w:val="20"/>
        </w:rPr>
        <w:t xml:space="preserve">KVALITETSGARANTI </w:t>
      </w:r>
    </w:p>
    <w:p>
      <w:pPr>
        <w:pStyle w:val="Brdtextpress"/>
        <w:rPr>
          <w:sz w:val="18"/>
          <w:szCs w:val="18"/>
        </w:rPr>
      </w:pPr>
      <w:r>
        <w:rPr>
          <w:rFonts w:ascii="Calibri" w:hAnsi="Calibri"/>
          <w:sz w:val="20"/>
          <w:szCs w:val="20"/>
        </w:rPr>
        <w:t>Producerad i Sverige enligt rådande EU-normer</w:t>
      </w:r>
      <w:r>
        <w:rPr>
          <w:sz w:val="20"/>
          <w:szCs w:val="20"/>
        </w:rPr>
        <w:t>.</w:t>
      </w:r>
    </w:p>
    <w:p>
      <w:pPr>
        <w:pStyle w:val="Tabellfrteckningrubrik"/>
        <w:rPr>
          <w:sz w:val="18"/>
          <w:szCs w:val="18"/>
        </w:rPr>
      </w:pPr>
      <w:r>
        <w:rPr>
          <w:sz w:val="18"/>
          <w:szCs w:val="18"/>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2022-04-07</w:t>
    </w:r>
  </w:p>
  <w:p>
    <w:pPr>
      <w:pStyle w:val="Sidhuvud"/>
      <w:rPr/>
    </w:pPr>
    <w:r>
      <w:rPr/>
      <w:tab/>
      <w:tab/>
      <w:t>Produktblad: Vitamin B6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6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ListLabel1">
    <w:name w:val="ListLabel 1"/>
    <w:qFormat/>
    <w:rPr>
      <w:sz w:val="16"/>
      <w:szCs w:val="16"/>
    </w:rPr>
  </w:style>
  <w:style w:type="character" w:styleId="ListLabel2">
    <w:name w:val="ListLabel 2"/>
    <w:qFormat/>
    <w:rPr>
      <w:sz w:val="16"/>
      <w:szCs w:val="16"/>
    </w:rPr>
  </w:style>
  <w:style w:type="character" w:styleId="ListLabel3">
    <w:name w:val="ListLabel 3"/>
    <w:qFormat/>
    <w:rPr>
      <w:sz w:val="16"/>
      <w:szCs w:val="16"/>
    </w:rPr>
  </w:style>
  <w:style w:type="character" w:styleId="ListLabel4">
    <w:name w:val="ListLabel 4"/>
    <w:qFormat/>
    <w:rPr>
      <w:sz w:val="16"/>
      <w:szCs w:val="16"/>
    </w:rPr>
  </w:style>
  <w:style w:type="character" w:styleId="ListLabel5">
    <w:name w:val="ListLabel 5"/>
    <w:qFormat/>
    <w:rPr>
      <w:sz w:val="16"/>
      <w:szCs w:val="16"/>
    </w:rPr>
  </w:style>
  <w:style w:type="character" w:styleId="ListLabel6">
    <w:name w:val="ListLabel 6"/>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469"/>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469"/>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Application>LibreOffice/6.2.5.2$Windows_X86_64 LibreOffice_project/1ec314fa52f458adc18c4f025c545a4e8b22c159</Application>
  <Pages>2</Pages>
  <Words>211</Words>
  <Characters>1286</Characters>
  <CharactersWithSpaces>1545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2022-05-25T09:39:45Z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